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jc w:val="center"/>
      </w:pPr>
      <w:r>
        <w:rPr>
          <w:rFonts w:ascii="Arial" w:cs="Arial" w:eastAsia="Arial" w:hAnsi="Arial"/>
          <w:b/>
          <w:bCs/>
          <w:color w:val="1F4E79"/>
          <w:sz w:val="40"/>
          <w:szCs w:val="40"/>
        </w:rPr>
        <w:t xml:space="preserve">GREENFIELD</w:t>
      </w:r>
    </w:p>
    <w:p>
      <w:pPr>
        <w:spacing w:after="200"/>
        <w:jc w:val="center"/>
      </w:pPr>
      <w:r>
        <w:rPr>
          <w:rFonts w:ascii="Arial" w:cs="Arial" w:eastAsia="Arial" w:hAnsi="Arial"/>
          <w:color w:val="666666"/>
          <w:sz w:val="28"/>
          <w:szCs w:val="28"/>
        </w:rPr>
        <w:t xml:space="preserve">Data &amp; AI Solutions</w:t>
      </w:r>
    </w:p>
    <w:p>
      <w:pPr>
        <w:spacing w:before="400" w:after="100"/>
        <w:jc w:val="center"/>
      </w:pPr>
      <w:r>
        <w:rPr>
          <w:rFonts w:ascii="Arial" w:cs="Arial" w:eastAsia="Arial" w:hAnsi="Arial"/>
          <w:b/>
          <w:bCs/>
          <w:color w:val="1F4E79"/>
          <w:sz w:val="36"/>
          <w:szCs w:val="36"/>
        </w:rPr>
        <w:t xml:space="preserve">APPENDIX A</w:t>
      </w:r>
    </w:p>
    <w:p>
      <w:pPr>
        <w:spacing w:after="100"/>
        <w:jc w:val="center"/>
      </w:pPr>
      <w:r>
        <w:rPr>
          <w:rFonts w:ascii="Arial" w:cs="Arial" w:eastAsia="Arial" w:hAnsi="Arial"/>
          <w:b/>
          <w:bCs/>
          <w:color w:val="1F4E79"/>
          <w:sz w:val="32"/>
          <w:szCs w:val="32"/>
        </w:rPr>
        <w:t xml:space="preserve">Security &amp; Privacy Model</w:t>
      </w:r>
    </w:p>
    <w:p>
      <w:pPr>
        <w:spacing w:after="400"/>
        <w:jc w:val="center"/>
      </w:pPr>
      <w:r>
        <w:rPr>
          <w:rFonts w:ascii="Arial" w:cs="Arial" w:eastAsia="Arial" w:hAnsi="Arial"/>
          <w:color w:val="666666"/>
          <w:sz w:val="24"/>
          <w:szCs w:val="24"/>
        </w:rPr>
        <w:t xml:space="preserve">Fabric-Primary Architecture — v1.0</w:t>
      </w:r>
    </w:p>
    <w:p>
      <w:pPr>
        <w:spacing w:after="100"/>
        <w:jc w:val="center"/>
      </w:pPr>
      <w:r>
        <w:rPr>
          <w:rFonts w:ascii="Arial" w:cs="Arial" w:eastAsia="Arial" w:hAnsi="Arial"/>
          <w:sz w:val="22"/>
          <w:szCs w:val="22"/>
        </w:rPr>
        <w:t xml:space="preserve">Classification: CONFIDENTIAL</w:t>
      </w:r>
    </w:p>
    <w:p>
      <w:pPr>
        <w:jc w:val="center"/>
      </w:pPr>
      <w:r>
        <w:rPr>
          <w:rFonts w:ascii="Arial" w:cs="Arial" w:eastAsia="Arial" w:hAnsi="Arial"/>
          <w:sz w:val="22"/>
          <w:szCs w:val="22"/>
        </w:rPr>
        <w:t xml:space="preserve">March 2026</w:t>
      </w:r>
    </w:p>
    <w:p>
      <w:r>
        <w:br w:type="page"/>
      </w:r>
    </w:p>
    <w:p>
      <w:pPr>
        <w:spacing w:after="300"/>
      </w:pPr>
      <w:r>
        <w:rPr>
          <w:rFonts w:ascii="Arial" w:cs="Arial" w:eastAsia="Arial" w:hAnsi="Arial"/>
          <w:b/>
          <w:bCs/>
          <w:color w:val="1F4E79"/>
          <w:sz w:val="32"/>
          <w:szCs w:val="32"/>
        </w:rP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spacing w:before="360" w:after="200"/>
      </w:pPr>
      <w:r>
        <w:rPr>
          <w:rFonts w:ascii="Arial" w:cs="Arial" w:eastAsia="Arial" w:hAnsi="Arial"/>
          <w:b/>
          <w:bCs/>
          <w:color w:val="1F4E79"/>
          <w:sz w:val="32"/>
          <w:szCs w:val="32"/>
        </w:rPr>
        <w:t xml:space="preserve">1. Introduction &amp; Guiding Principles</w:t>
      </w:r>
    </w:p>
    <w:p>
      <w:pPr>
        <w:spacing w:after="120"/>
      </w:pPr>
      <w:r>
        <w:rPr>
          <w:rFonts w:ascii="Arial" w:cs="Arial" w:eastAsia="Arial" w:hAnsi="Arial"/>
          <w:sz w:val="22"/>
          <w:szCs w:val="22"/>
        </w:rPr>
        <w:t xml:space="preserve">This appendix provides the detailed security and privacy model for the Greenfield Modern Data Platform under the Fabric-primary architecture. It documents a dual-enforcement security model: OneLake security (workspace RBAC, item-level permissions, Power BI RLS/CLS, Fabric SQL DDM) serves as the primary enforcement plane for Public and Internal datasets, while Databricks Unity Catalog is retained for Confidential and Restricted datasets requiring row-level filtering, column-level masking, or attribute-based access control (ABAC) finer than Fabric currently provides.</w:t>
      </w:r>
    </w:p>
    <w:p>
      <w:pPr>
        <w:spacing w:after="120"/>
      </w:pPr>
      <w:r>
        <w:rPr>
          <w:rFonts w:ascii="Arial" w:cs="Arial" w:eastAsia="Arial" w:hAnsi="Arial"/>
          <w:sz w:val="22"/>
          <w:szCs w:val="22"/>
        </w:rPr>
        <w:t xml:space="preserve">The critical architectural distinction from the Databricks-primary model (v8.0) is that Fabric’s security enforcement is engine-specific: Power BI RLS applies only through Power BI, SQL Analytics Endpoint security applies only through the SQL endpoint, and Fabric Spark notebooks accessing the same Lakehouse see unmasked, unfiltered data. This appendix documents the mitigations for this gap and defines the dataset classification framework that routes each dataset to the appropriate enforcement plane.</w:t>
      </w:r>
    </w:p>
    <w:p>
      <w:pPr>
        <w:pStyle w:val="Heading2"/>
        <w:spacing w:before="280" w:after="160"/>
      </w:pPr>
      <w:r>
        <w:rPr>
          <w:rFonts w:ascii="Arial" w:cs="Arial" w:eastAsia="Arial" w:hAnsi="Arial"/>
          <w:b/>
          <w:bCs/>
          <w:color w:val="1F4E79"/>
          <w:sz w:val="26"/>
          <w:szCs w:val="26"/>
        </w:rPr>
        <w:t xml:space="preserve">Guiding Principles</w:t>
      </w:r>
    </w:p>
    <w:p>
      <w:pPr>
        <w:pStyle w:val="ListParagraph"/>
        <w:numPr>
          <w:ilvl w:val="0"/>
          <w:numId w:val="2"/>
        </w:numPr>
        <w:spacing w:after="80"/>
      </w:pPr>
      <w:r>
        <w:rPr>
          <w:rFonts w:ascii="Arial" w:cs="Arial" w:eastAsia="Arial" w:hAnsi="Arial"/>
          <w:sz w:val="22"/>
          <w:szCs w:val="22"/>
        </w:rPr>
        <w:t xml:space="preserve">Zero Trust: Verify every access request at every layer; assume breach in design.</w:t>
      </w:r>
    </w:p>
    <w:p>
      <w:pPr>
        <w:pStyle w:val="ListParagraph"/>
        <w:numPr>
          <w:ilvl w:val="0"/>
          <w:numId w:val="2"/>
        </w:numPr>
        <w:spacing w:after="80"/>
      </w:pPr>
      <w:r>
        <w:rPr>
          <w:rFonts w:ascii="Arial" w:cs="Arial" w:eastAsia="Arial" w:hAnsi="Arial"/>
          <w:sz w:val="22"/>
          <w:szCs w:val="22"/>
        </w:rPr>
        <w:t xml:space="preserve">Least Privilege: Grant only the minimum permissions required for a user or service to fulfill their role. Permissions granted through group membership, never to individuals.</w:t>
      </w:r>
    </w:p>
    <w:p>
      <w:pPr>
        <w:pStyle w:val="ListParagraph"/>
        <w:numPr>
          <w:ilvl w:val="0"/>
          <w:numId w:val="2"/>
        </w:numPr>
        <w:spacing w:after="80"/>
      </w:pPr>
      <w:r>
        <w:rPr>
          <w:rFonts w:ascii="Arial" w:cs="Arial" w:eastAsia="Arial" w:hAnsi="Arial"/>
          <w:sz w:val="22"/>
          <w:szCs w:val="22"/>
        </w:rPr>
        <w:t xml:space="preserve">Defense in Depth: Layer multiple independent security controls (identity, RBAC, attribute-based filtering, encryption, DLP, audit).</w:t>
      </w:r>
    </w:p>
    <w:p>
      <w:pPr>
        <w:pStyle w:val="ListParagraph"/>
        <w:numPr>
          <w:ilvl w:val="0"/>
          <w:numId w:val="2"/>
        </w:numPr>
        <w:spacing w:after="80"/>
      </w:pPr>
      <w:r>
        <w:rPr>
          <w:rFonts w:ascii="Arial" w:cs="Arial" w:eastAsia="Arial" w:hAnsi="Arial"/>
          <w:sz w:val="22"/>
          <w:szCs w:val="22"/>
        </w:rPr>
        <w:t xml:space="preserve">Unified Identity: All platform access routed through Azure Entra ID with Conditional Access policies and mandatory MFA.</w:t>
      </w:r>
    </w:p>
    <w:p>
      <w:pPr>
        <w:pStyle w:val="ListParagraph"/>
        <w:numPr>
          <w:ilvl w:val="0"/>
          <w:numId w:val="2"/>
        </w:numPr>
        <w:spacing w:after="80"/>
      </w:pPr>
      <w:r>
        <w:rPr>
          <w:rFonts w:ascii="Arial" w:cs="Arial" w:eastAsia="Arial" w:hAnsi="Arial"/>
          <w:sz w:val="22"/>
          <w:szCs w:val="22"/>
        </w:rPr>
        <w:t xml:space="preserve">Policy as Code: Security configurations (role assignments, row filters, column masks) stored as IaC in Terraform and Git; changes deployed through CI/CD with mandatory review.</w:t>
      </w:r>
    </w:p>
    <w:p>
      <w:pPr>
        <w:pStyle w:val="ListParagraph"/>
        <w:numPr>
          <w:ilvl w:val="0"/>
          <w:numId w:val="2"/>
        </w:numPr>
        <w:spacing w:after="80"/>
      </w:pPr>
      <w:r>
        <w:rPr>
          <w:rFonts w:ascii="Arial" w:cs="Arial" w:eastAsia="Arial" w:hAnsi="Arial"/>
          <w:sz w:val="22"/>
          <w:szCs w:val="22"/>
        </w:rPr>
        <w:t xml:space="preserve">Auditability: Every data access event, privilege change, and security configuration modification logged and retained for regulatory audit (AMF, OSFI, Law 25).</w:t>
      </w:r>
    </w:p>
    <w:p>
      <w:r>
        <w:br w:type="page"/>
      </w:r>
    </w:p>
    <w:p>
      <w:pPr>
        <w:pStyle w:val="Heading1"/>
        <w:spacing w:before="360" w:after="200"/>
      </w:pPr>
      <w:r>
        <w:rPr>
          <w:rFonts w:ascii="Arial" w:cs="Arial" w:eastAsia="Arial" w:hAnsi="Arial"/>
          <w:b/>
          <w:bCs/>
          <w:color w:val="1F4E79"/>
          <w:sz w:val="32"/>
          <w:szCs w:val="32"/>
        </w:rPr>
        <w:t xml:space="preserve">2. Authentication Framework</w:t>
      </w:r>
    </w:p>
    <w:p>
      <w:pPr>
        <w:spacing w:after="120"/>
      </w:pPr>
      <w:r>
        <w:rPr>
          <w:rFonts w:ascii="Arial" w:cs="Arial" w:eastAsia="Arial" w:hAnsi="Arial"/>
          <w:sz w:val="22"/>
          <w:szCs w:val="22"/>
        </w:rPr>
        <w:t xml:space="preserve">All access to Microsoft Fabric, Databricks, SAS Viya, and supporting Azure services is mediated by Azure Entra ID. No platform component accepts credentials that bypass Entra ID. This section details the authentication model for the Fabric-primary architecture.</w:t>
      </w:r>
    </w:p>
    <w:p>
      <w:pPr>
        <w:pStyle w:val="Heading2"/>
        <w:spacing w:before="280" w:after="160"/>
      </w:pPr>
      <w:r>
        <w:rPr>
          <w:rFonts w:ascii="Arial" w:cs="Arial" w:eastAsia="Arial" w:hAnsi="Arial"/>
          <w:b/>
          <w:bCs/>
          <w:color w:val="1F4E79"/>
          <w:sz w:val="26"/>
          <w:szCs w:val="26"/>
        </w:rPr>
        <w:t xml:space="preserve">2.1 Conditional Access Policies</w:t>
      </w:r>
    </w:p>
    <w:p>
      <w:pPr>
        <w:spacing w:after="120"/>
      </w:pPr>
      <w:r>
        <w:rPr>
          <w:rFonts w:ascii="Arial" w:cs="Arial" w:eastAsia="Arial" w:hAnsi="Arial"/>
          <w:sz w:val="22"/>
          <w:szCs w:val="22"/>
        </w:rPr>
        <w:t xml:space="preserve">Conditional Access policies evaluate contextual signals before granting tokens. The following policies apply universally:</w:t>
      </w:r>
    </w:p>
    <w:p>
      <w:pPr>
        <w:pStyle w:val="ListParagraph"/>
        <w:numPr>
          <w:ilvl w:val="0"/>
          <w:numId w:val="2"/>
        </w:numPr>
        <w:spacing w:after="80"/>
      </w:pPr>
      <w:r>
        <w:rPr>
          <w:rFonts w:ascii="Arial" w:cs="Arial" w:eastAsia="Arial" w:hAnsi="Arial"/>
          <w:sz w:val="22"/>
          <w:szCs w:val="22"/>
        </w:rPr>
        <w:t xml:space="preserve">Require MFA for all data platform access; enforce compliant device (Intune-managed or Azure AD joined).</w:t>
      </w:r>
    </w:p>
    <w:p>
      <w:pPr>
        <w:pStyle w:val="ListParagraph"/>
        <w:numPr>
          <w:ilvl w:val="0"/>
          <w:numId w:val="2"/>
        </w:numPr>
        <w:spacing w:after="80"/>
      </w:pPr>
      <w:r>
        <w:rPr>
          <w:rFonts w:ascii="Arial" w:cs="Arial" w:eastAsia="Arial" w:hAnsi="Arial"/>
          <w:sz w:val="22"/>
          <w:szCs w:val="22"/>
        </w:rPr>
        <w:t xml:space="preserve">Block access from outside Canada (geo-fencing); exception for approved VPN endpoints.</w:t>
      </w:r>
    </w:p>
    <w:p>
      <w:pPr>
        <w:pStyle w:val="ListParagraph"/>
        <w:numPr>
          <w:ilvl w:val="0"/>
          <w:numId w:val="2"/>
        </w:numPr>
        <w:spacing w:after="80"/>
      </w:pPr>
      <w:r>
        <w:rPr>
          <w:rFonts w:ascii="Arial" w:cs="Arial" w:eastAsia="Arial" w:hAnsi="Arial"/>
          <w:sz w:val="22"/>
          <w:szCs w:val="22"/>
        </w:rPr>
        <w:t xml:space="preserve">Require compliant device and network location for Fabric Admin, Databricks Admin, and elevated security group access.</w:t>
      </w:r>
    </w:p>
    <w:p>
      <w:pPr>
        <w:pStyle w:val="ListParagraph"/>
        <w:numPr>
          <w:ilvl w:val="0"/>
          <w:numId w:val="2"/>
        </w:numPr>
        <w:spacing w:after="80"/>
      </w:pPr>
      <w:r>
        <w:rPr>
          <w:rFonts w:ascii="Arial" w:cs="Arial" w:eastAsia="Arial" w:hAnsi="Arial"/>
          <w:sz w:val="22"/>
          <w:szCs w:val="22"/>
        </w:rPr>
        <w:t xml:space="preserve">Risk-based MFA: escalate to hardware token for sign-in risk score ≥ Medium.</w:t>
      </w:r>
    </w:p>
    <w:p>
      <w:pPr>
        <w:pStyle w:val="Heading2"/>
        <w:spacing w:before="280" w:after="160"/>
      </w:pPr>
      <w:r>
        <w:rPr>
          <w:rFonts w:ascii="Arial" w:cs="Arial" w:eastAsia="Arial" w:hAnsi="Arial"/>
          <w:b/>
          <w:bCs/>
          <w:color w:val="1F4E79"/>
          <w:sz w:val="26"/>
          <w:szCs w:val="26"/>
        </w:rPr>
        <w:t xml:space="preserve">2.2 Platform-Specific Authentication</w:t>
      </w:r>
    </w:p>
    <w:p>
      <w:pPr>
        <w:spacing w:after="120"/>
      </w:pPr>
      <w:r>
        <w:rPr>
          <w:rFonts w:ascii="Arial" w:cs="Arial" w:eastAsia="Arial" w:hAnsi="Arial"/>
          <w:sz w:val="22"/>
          <w:szCs w:val="22"/>
        </w:rPr>
        <w:t xml:space="preserve">Each platform integrates with Entra ID through native connectors:</w:t>
      </w:r>
    </w:p>
    <w:p>
      <w:pPr>
        <w:pStyle w:val="ListParagraph"/>
        <w:numPr>
          <w:ilvl w:val="0"/>
          <w:numId w:val="2"/>
        </w:numPr>
        <w:spacing w:after="80"/>
      </w:pPr>
      <w:r>
        <w:rPr>
          <w:rFonts w:ascii="Arial" w:cs="Arial" w:eastAsia="Arial" w:hAnsi="Arial"/>
          <w:sz w:val="22"/>
          <w:szCs w:val="22"/>
        </w:rPr>
        <w:t xml:space="preserve">Microsoft Fabric: Native Entra ID integration via OAuth 2.0. Users sign in with corporate identity; MFA enforced by Conditional Access. Service principals use OAuth 2.0 client credentials flow for automated workloads.</w:t>
      </w:r>
    </w:p>
    <w:p>
      <w:pPr>
        <w:pStyle w:val="ListParagraph"/>
        <w:numPr>
          <w:ilvl w:val="0"/>
          <w:numId w:val="2"/>
        </w:numPr>
        <w:spacing w:after="80"/>
      </w:pPr>
      <w:r>
        <w:rPr>
          <w:rFonts w:ascii="Arial" w:cs="Arial" w:eastAsia="Arial" w:hAnsi="Arial"/>
          <w:sz w:val="22"/>
          <w:szCs w:val="22"/>
        </w:rPr>
        <w:t xml:space="preserve">Databricks: OAuth 2.0 via Entra ID. Service principals authenticate with tokens stored in Azure Key Vault. Personal Access Tokens (PATs) disabled in production workspaces.</w:t>
      </w:r>
    </w:p>
    <w:p>
      <w:pPr>
        <w:pStyle w:val="ListParagraph"/>
        <w:numPr>
          <w:ilvl w:val="0"/>
          <w:numId w:val="2"/>
        </w:numPr>
        <w:spacing w:after="80"/>
      </w:pPr>
      <w:r>
        <w:rPr>
          <w:rFonts w:ascii="Arial" w:cs="Arial" w:eastAsia="Arial" w:hAnsi="Arial"/>
          <w:sz w:val="22"/>
          <w:szCs w:val="22"/>
        </w:rPr>
        <w:t xml:space="preserve">SAS Viya: SAML 2.0 federation with Entra ID. SAML assertions include group memberships (Tier 1–4 groups) for SAS internal authorization. LDAP sync provides secondary group resolution.</w:t>
      </w:r>
    </w:p>
    <w:p>
      <w:pPr>
        <w:pStyle w:val="Heading2"/>
        <w:spacing w:before="280" w:after="160"/>
      </w:pPr>
      <w:r>
        <w:rPr>
          <w:rFonts w:ascii="Arial" w:cs="Arial" w:eastAsia="Arial" w:hAnsi="Arial"/>
          <w:b/>
          <w:bCs/>
          <w:color w:val="1F4E79"/>
          <w:sz w:val="26"/>
          <w:szCs w:val="26"/>
        </w:rPr>
        <w:t xml:space="preserve">2.3 Managed Identities &amp; Service Principals</w:t>
      </w:r>
    </w:p>
    <w:p>
      <w:pPr>
        <w:spacing w:after="120"/>
      </w:pPr>
      <w:r>
        <w:rPr>
          <w:rFonts w:ascii="Arial" w:cs="Arial" w:eastAsia="Arial" w:hAnsi="Arial"/>
          <w:sz w:val="22"/>
          <w:szCs w:val="22"/>
        </w:rPr>
        <w:t xml:space="preserve">Automated workloads use managed identities (preferred) or service principals with credentials in Azure Key Vault (rotated every 90 days). Shared secrets and embedded credentials are explicitly prohibited across the entire platform, enforced through Azure Policy deny assignments for storage account key access and Databricks workspace configuration.</w:t>
      </w:r>
    </w:p>
    <w:p>
      <w:r>
        <w:br w:type="page"/>
      </w:r>
    </w:p>
    <w:p>
      <w:pPr>
        <w:pStyle w:val="Heading1"/>
        <w:spacing w:before="360" w:after="200"/>
      </w:pPr>
      <w:r>
        <w:rPr>
          <w:rFonts w:ascii="Arial" w:cs="Arial" w:eastAsia="Arial" w:hAnsi="Arial"/>
          <w:b/>
          <w:bCs/>
          <w:color w:val="1F4E79"/>
          <w:sz w:val="32"/>
          <w:szCs w:val="32"/>
        </w:rPr>
        <w:t xml:space="preserve">3. Role-Based Access Control (RBAC)</w:t>
      </w:r>
    </w:p>
    <w:p>
      <w:pPr>
        <w:spacing w:after="120"/>
      </w:pPr>
      <w:r>
        <w:rPr>
          <w:rFonts w:ascii="Arial" w:cs="Arial" w:eastAsia="Arial" w:hAnsi="Arial"/>
          <w:sz w:val="22"/>
          <w:szCs w:val="22"/>
        </w:rPr>
        <w:t xml:space="preserve">RBAC controls who can access platform resources. All assignments are made to Entra security groups following the naming pattern: sg-{domain}-{role}. Individual user assignments are prohibited.</w:t>
      </w:r>
    </w:p>
    <w:p>
      <w:pPr>
        <w:pStyle w:val="Heading2"/>
        <w:spacing w:before="280" w:after="160"/>
      </w:pPr>
      <w:r>
        <w:rPr>
          <w:rFonts w:ascii="Arial" w:cs="Arial" w:eastAsia="Arial" w:hAnsi="Arial"/>
          <w:b/>
          <w:bCs/>
          <w:color w:val="1F4E79"/>
          <w:sz w:val="26"/>
          <w:szCs w:val="26"/>
        </w:rPr>
        <w:t xml:space="preserve">3.1 Fabric Workspace RBAC</w:t>
      </w:r>
    </w:p>
    <w:p>
      <w:pPr>
        <w:spacing w:after="120"/>
      </w:pPr>
      <w:r>
        <w:rPr>
          <w:rFonts w:ascii="Arial" w:cs="Arial" w:eastAsia="Arial" w:hAnsi="Arial"/>
          <w:sz w:val="22"/>
          <w:szCs w:val="22"/>
        </w:rPr>
        <w:t xml:space="preserve">Each Fabric workspace is protected by four role levels, mapped to Entra security groups: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200"/>
        <w:gridCol w:w="4160"/>
        <w:gridCol w:w="1600"/>
      </w:tblGrid>
      <w:tr>
        <w:tc>
          <w:tcPr>
            <w:tcW w:type="dxa" w:w="14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Role</w:t>
            </w:r>
          </w:p>
        </w:tc>
        <w:tc>
          <w:tcPr>
            <w:tcW w:type="dxa" w:w="22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Entra Group Pattern</w:t>
            </w:r>
          </w:p>
        </w:tc>
        <w:tc>
          <w:tcPr>
            <w:tcW w:type="dxa" w:w="41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Permissions</w:t>
            </w:r>
          </w:p>
        </w:tc>
        <w:tc>
          <w:tcPr>
            <w:tcW w:type="dxa" w:w="16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Typical Users</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Admin</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sg-{domain}-fabric-admin</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Full workspace control: create/delete items, manage members, configure settings, manage capacity, audit logs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Platform engineers, workspace owners</w:t>
            </w:r>
          </w:p>
        </w:tc>
      </w:tr>
      <w:tr>
        <w:tc>
          <w:tcPr>
            <w:tcW w:type="dxa" w:w="14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Member</w:t>
            </w:r>
          </w:p>
        </w:tc>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sg-{domain}-fabric-member</w:t>
            </w:r>
          </w:p>
        </w:tc>
        <w:tc>
          <w:tcPr>
            <w:tcW w:type="dxa" w:w="4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Create, edit, delete items (datasets, reports, models); manage item permissions; consume items</w:t>
            </w:r>
          </w:p>
        </w:tc>
        <w:tc>
          <w:tcPr>
            <w:tcW w:type="dxa" w:w="16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Analytics engineers, data scientists</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Contributor</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sg-{domain}-fabric-contributor</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Create and edit items but cannot delete; no user management</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Junior analysts, contractors</w:t>
            </w:r>
          </w:p>
        </w:tc>
      </w:tr>
      <w:tr>
        <w:tc>
          <w:tcPr>
            <w:tcW w:type="dxa" w:w="14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Viewer</w:t>
            </w:r>
          </w:p>
        </w:tc>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sg-{domain}-fabric-viewer</w:t>
            </w:r>
          </w:p>
        </w:tc>
        <w:tc>
          <w:tcPr>
            <w:tcW w:type="dxa" w:w="4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View and consume reports, dashboards, and datasets; cannot edit or create</w:t>
            </w:r>
          </w:p>
        </w:tc>
        <w:tc>
          <w:tcPr>
            <w:tcW w:type="dxa" w:w="16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Business users, stakeholders</w:t>
            </w:r>
          </w:p>
        </w:tc>
      </w:tr>
    </w:tbl>
    <w:p>
      <w:pPr>
        <w:pStyle w:val="Heading2"/>
        <w:spacing w:before="280" w:after="160"/>
      </w:pPr>
      <w:r>
        <w:rPr>
          <w:rFonts w:ascii="Arial" w:cs="Arial" w:eastAsia="Arial" w:hAnsi="Arial"/>
          <w:b/>
          <w:bCs/>
          <w:color w:val="1F4E79"/>
          <w:sz w:val="26"/>
          <w:szCs w:val="26"/>
        </w:rPr>
        <w:t xml:space="preserve">3.2 Fabric Capacity Administration</w:t>
      </w:r>
    </w:p>
    <w:p>
      <w:pPr>
        <w:spacing w:after="120"/>
      </w:pPr>
      <w:r>
        <w:rPr>
          <w:rFonts w:ascii="Arial" w:cs="Arial" w:eastAsia="Arial" w:hAnsi="Arial"/>
          <w:sz w:val="22"/>
          <w:szCs w:val="22"/>
        </w:rPr>
        <w:t xml:space="preserve">Fabric Premium capacities (F-series) are managed separately from workspace RBAC. The sg-fabric-capacity-admin group controls resource allocation, autoscale policies, tenant-level security settings, and data export restrictions. Capacity administrators are distinct from workspace administrators to enforce separation of duties.</w:t>
      </w:r>
    </w:p>
    <w:p>
      <w:pPr>
        <w:pStyle w:val="Heading2"/>
        <w:spacing w:before="280" w:after="160"/>
      </w:pPr>
      <w:r>
        <w:rPr>
          <w:rFonts w:ascii="Arial" w:cs="Arial" w:eastAsia="Arial" w:hAnsi="Arial"/>
          <w:b/>
          <w:bCs/>
          <w:color w:val="1F4E79"/>
          <w:sz w:val="26"/>
          <w:szCs w:val="26"/>
        </w:rPr>
        <w:t xml:space="preserve">3.3 Databricks Workspace Permissions (Residual Workloads)</w:t>
      </w:r>
    </w:p>
    <w:p>
      <w:pPr>
        <w:spacing w:after="120"/>
      </w:pPr>
      <w:r>
        <w:rPr>
          <w:rFonts w:ascii="Arial" w:cs="Arial" w:eastAsia="Arial" w:hAnsi="Arial"/>
          <w:sz w:val="22"/>
          <w:szCs w:val="22"/>
        </w:rPr>
        <w:t xml:space="preserve">Databricks workspaces retained for sensitive datasets and specialized compute enforce role-based access via Databricks-native RBAC synchronized from Entra ID through SCIM:</w:t>
      </w:r>
    </w:p>
    <w:p>
      <w:pPr>
        <w:pStyle w:val="ListParagraph"/>
        <w:numPr>
          <w:ilvl w:val="0"/>
          <w:numId w:val="2"/>
        </w:numPr>
        <w:spacing w:after="80"/>
      </w:pPr>
      <w:r>
        <w:rPr>
          <w:rFonts w:ascii="Arial" w:cs="Arial" w:eastAsia="Arial" w:hAnsi="Arial"/>
          <w:sz w:val="22"/>
          <w:szCs w:val="22"/>
        </w:rPr>
        <w:t xml:space="preserve">Workspace Admins (sg-data-platform-admins): Full control over workspace configuration, cluster policies, and user management.</w:t>
      </w:r>
    </w:p>
    <w:p>
      <w:pPr>
        <w:pStyle w:val="ListParagraph"/>
        <w:numPr>
          <w:ilvl w:val="0"/>
          <w:numId w:val="2"/>
        </w:numPr>
        <w:spacing w:after="80"/>
      </w:pPr>
      <w:r>
        <w:rPr>
          <w:rFonts w:ascii="Arial" w:cs="Arial" w:eastAsia="Arial" w:hAnsi="Arial"/>
          <w:sz w:val="22"/>
          <w:szCs w:val="22"/>
        </w:rPr>
        <w:t xml:space="preserve">Data Engineers (sg-data-engineers): Create and manage clusters within policy constraints, notebooks, repos, and jobs.</w:t>
      </w:r>
    </w:p>
    <w:p>
      <w:pPr>
        <w:pStyle w:val="ListParagraph"/>
        <w:numPr>
          <w:ilvl w:val="0"/>
          <w:numId w:val="2"/>
        </w:numPr>
        <w:spacing w:after="80"/>
      </w:pPr>
      <w:r>
        <w:rPr>
          <w:rFonts w:ascii="Arial" w:cs="Arial" w:eastAsia="Arial" w:hAnsi="Arial"/>
          <w:sz w:val="22"/>
          <w:szCs w:val="22"/>
        </w:rPr>
        <w:t xml:space="preserve">Data Analysts (sg-data-analysts): Access to SQL Warehouses only; cannot create general-purpose clusters; query access governed by Unity Catalog.</w:t>
      </w:r>
    </w:p>
    <w:p>
      <w:r>
        <w:br w:type="page"/>
      </w:r>
    </w:p>
    <w:p>
      <w:pPr>
        <w:pStyle w:val="Heading1"/>
        <w:spacing w:before="360" w:after="200"/>
      </w:pPr>
      <w:r>
        <w:rPr>
          <w:rFonts w:ascii="Arial" w:cs="Arial" w:eastAsia="Arial" w:hAnsi="Arial"/>
          <w:b/>
          <w:bCs/>
          <w:color w:val="1F4E79"/>
          <w:sz w:val="32"/>
          <w:szCs w:val="32"/>
        </w:rPr>
        <w:t xml:space="preserve">4. OneLake Security as Primary Enforcement Plane</w:t>
      </w:r>
    </w:p>
    <w:p>
      <w:pPr>
        <w:spacing w:after="120"/>
      </w:pPr>
      <w:r>
        <w:rPr>
          <w:rFonts w:ascii="Arial" w:cs="Arial" w:eastAsia="Arial" w:hAnsi="Arial"/>
          <w:sz w:val="22"/>
          <w:szCs w:val="22"/>
        </w:rPr>
        <w:t xml:space="preserve">In the Fabric-primary architecture, OneLake security is the primary defense for the majority of data. It operates through three complementary mechanisms: workspace RBAC, Power BI RLS/CLS, and Fabric SQL Analytics Endpoint security. This section documents each mechanism and the critical gap that necessitates retaining Unity Catalog for sensitive datasets.</w:t>
      </w:r>
    </w:p>
    <w:p>
      <w:pPr>
        <w:pStyle w:val="Heading2"/>
        <w:spacing w:before="280" w:after="160"/>
      </w:pPr>
      <w:r>
        <w:rPr>
          <w:rFonts w:ascii="Arial" w:cs="Arial" w:eastAsia="Arial" w:hAnsi="Arial"/>
          <w:b/>
          <w:bCs/>
          <w:color w:val="1F4E79"/>
          <w:sz w:val="26"/>
          <w:szCs w:val="26"/>
        </w:rPr>
        <w:t xml:space="preserve">4.1 Workspace &amp; Item-Level Permissions</w:t>
      </w:r>
    </w:p>
    <w:p>
      <w:pPr>
        <w:spacing w:after="120"/>
      </w:pPr>
      <w:r>
        <w:rPr>
          <w:rFonts w:ascii="Arial" w:cs="Arial" w:eastAsia="Arial" w:hAnsi="Arial"/>
          <w:sz w:val="22"/>
          <w:szCs w:val="22"/>
        </w:rPr>
        <w:t xml:space="preserve">OneLake items (Lakehouses, Warehouses, Semantic Models, Reports, Notebooks) are secured via workspace role inheritance and item-level permission overrides. Permissions are assigned through Entra groups for scalability. Item-level permissions can override workspace roles; a Viewer can be granted Editor access on a specific item.</w:t>
      </w:r>
    </w:p>
    <w:p>
      <w:pPr>
        <w:pStyle w:val="Heading2"/>
        <w:spacing w:before="280" w:after="160"/>
      </w:pPr>
      <w:r>
        <w:rPr>
          <w:rFonts w:ascii="Arial" w:cs="Arial" w:eastAsia="Arial" w:hAnsi="Arial"/>
          <w:b/>
          <w:bCs/>
          <w:color w:val="1F4E79"/>
          <w:sz w:val="26"/>
          <w:szCs w:val="26"/>
        </w:rPr>
        <w:t xml:space="preserve">4.2 Power BI Row-Level Security (RLS)</w:t>
      </w:r>
    </w:p>
    <w:p>
      <w:pPr>
        <w:spacing w:after="120"/>
      </w:pPr>
      <w:r>
        <w:rPr>
          <w:rFonts w:ascii="Arial" w:cs="Arial" w:eastAsia="Arial" w:hAnsi="Arial"/>
          <w:sz w:val="22"/>
          <w:szCs w:val="22"/>
        </w:rPr>
        <w:t xml:space="preserve">Power BI RLS uses DAX expressions to filter data at query time based on the logged-in user’s identity. RLS roles are defined within the semantic model and apply only when data is accessed through Power BI.</w:t>
      </w:r>
    </w:p>
    <w:p>
      <w:pPr>
        <w:spacing w:after="120"/>
      </w:pPr>
      <w:r>
        <w:rPr>
          <w:rFonts w:ascii="Arial" w:cs="Arial" w:eastAsia="Arial" w:hAnsi="Arial"/>
          <w:b/>
          <w:bCs/>
          <w:sz w:val="22"/>
          <w:szCs w:val="22"/>
        </w:rPr>
        <w:t xml:space="preserve">Example RLS role definition (DAX):</w:t>
      </w:r>
    </w:p>
    <w:p>
      <w:pPr>
        <w:spacing w:after="80"/>
        <w:ind w:left="360"/>
      </w:pPr>
      <w:r>
        <w:rPr>
          <w:rFonts w:ascii="Courier New" w:cs="Courier New" w:eastAsia="Courier New" w:hAnsi="Courier New"/>
          <w:sz w:val="18"/>
          <w:szCs w:val="18"/>
        </w:rPr>
        <w:t xml:space="preserve">[Region] = LOOKUPVALUE(</w:t>
      </w:r>
    </w:p>
    <w:p>
      <w:pPr>
        <w:spacing w:after="80"/>
        <w:ind w:left="360"/>
      </w:pPr>
      <w:r>
        <w:rPr>
          <w:rFonts w:ascii="Courier New" w:cs="Courier New" w:eastAsia="Courier New" w:hAnsi="Courier New"/>
          <w:sz w:val="18"/>
          <w:szCs w:val="18"/>
        </w:rPr>
        <w:t xml:space="preserve">  DimUser[Region],</w:t>
      </w:r>
    </w:p>
    <w:p>
      <w:pPr>
        <w:spacing w:after="80"/>
        <w:ind w:left="360"/>
      </w:pPr>
      <w:r>
        <w:rPr>
          <w:rFonts w:ascii="Courier New" w:cs="Courier New" w:eastAsia="Courier New" w:hAnsi="Courier New"/>
          <w:sz w:val="18"/>
          <w:szCs w:val="18"/>
        </w:rPr>
        <w:t xml:space="preserve">  DimUser[UserEmail],</w:t>
      </w:r>
    </w:p>
    <w:p>
      <w:pPr>
        <w:spacing w:after="80"/>
        <w:ind w:left="360"/>
      </w:pPr>
      <w:r>
        <w:rPr>
          <w:rFonts w:ascii="Courier New" w:cs="Courier New" w:eastAsia="Courier New" w:hAnsi="Courier New"/>
          <w:sz w:val="18"/>
          <w:szCs w:val="18"/>
        </w:rPr>
        <w:t xml:space="preserve">  USERPRINCIPALNAME()</w:t>
      </w:r>
    </w:p>
    <w:p>
      <w:pPr>
        <w:spacing w:after="80"/>
        <w:ind w:left="360"/>
      </w:pPr>
      <w:r>
        <w:rPr>
          <w:rFonts w:ascii="Courier New" w:cs="Courier New" w:eastAsia="Courier New" w:hAnsi="Courier New"/>
          <w:sz w:val="18"/>
          <w:szCs w:val="18"/>
        </w:rPr>
        <w:t xml:space="preserve">)</w:t>
      </w:r>
    </w:p>
    <w:p>
      <w:pPr>
        <w:spacing w:after="120"/>
      </w:pPr>
      <w:r>
        <w:rPr>
          <w:rFonts w:ascii="Arial" w:cs="Arial" w:eastAsia="Arial" w:hAnsi="Arial"/>
          <w:sz w:val="22"/>
          <w:szCs w:val="22"/>
        </w:rPr>
        <w:t xml:space="preserve">This ensures that a sales analyst in Region East sees only East data, even if the semantic model contains all regions.</w:t>
      </w:r>
    </w:p>
    <w:p>
      <w:pPr>
        <w:pStyle w:val="Heading2"/>
        <w:spacing w:before="280" w:after="160"/>
      </w:pPr>
      <w:r>
        <w:rPr>
          <w:rFonts w:ascii="Arial" w:cs="Arial" w:eastAsia="Arial" w:hAnsi="Arial"/>
          <w:b/>
          <w:bCs/>
          <w:color w:val="1F4E79"/>
          <w:sz w:val="26"/>
          <w:szCs w:val="26"/>
        </w:rPr>
        <w:t xml:space="preserve">4.3 Fabric SQL Analytics Endpoint — T-SQL RLS &amp; CLS</w:t>
      </w:r>
    </w:p>
    <w:p>
      <w:pPr>
        <w:spacing w:after="120"/>
      </w:pPr>
      <w:r>
        <w:rPr>
          <w:rFonts w:ascii="Arial" w:cs="Arial" w:eastAsia="Arial" w:hAnsi="Arial"/>
          <w:sz w:val="22"/>
          <w:szCs w:val="22"/>
        </w:rPr>
        <w:t xml:space="preserve">Lakehouse SQL Analytics Endpoints support standard T-SQL security predicates for row-level filtering and column-level GRANT/DENY statements.</w:t>
      </w:r>
    </w:p>
    <w:p>
      <w:pPr>
        <w:spacing w:after="120"/>
      </w:pPr>
      <w:r>
        <w:rPr>
          <w:rFonts w:ascii="Arial" w:cs="Arial" w:eastAsia="Arial" w:hAnsi="Arial"/>
          <w:b/>
          <w:bCs/>
          <w:sz w:val="22"/>
          <w:szCs w:val="22"/>
        </w:rPr>
        <w:t xml:space="preserve">Row-Level Security Predicate:</w:t>
      </w:r>
    </w:p>
    <w:p>
      <w:pPr>
        <w:spacing w:after="80"/>
        <w:ind w:left="360"/>
      </w:pPr>
      <w:r>
        <w:rPr>
          <w:rFonts w:ascii="Courier New" w:cs="Courier New" w:eastAsia="Courier New" w:hAnsi="Courier New"/>
          <w:sz w:val="18"/>
          <w:szCs w:val="18"/>
        </w:rPr>
        <w:t xml:space="preserve">CREATE FUNCTION security.rls_by_business_unit(@bu NVARCHAR(50))</w:t>
      </w:r>
    </w:p>
    <w:p>
      <w:pPr>
        <w:spacing w:after="80"/>
        <w:ind w:left="360"/>
      </w:pPr>
      <w:r>
        <w:rPr>
          <w:rFonts w:ascii="Courier New" w:cs="Courier New" w:eastAsia="Courier New" w:hAnsi="Courier New"/>
          <w:sz w:val="18"/>
          <w:szCs w:val="18"/>
        </w:rPr>
        <w:t xml:space="preserve">RETURNS TABLE WITH SCHEMABINDING AS</w:t>
      </w:r>
    </w:p>
    <w:p>
      <w:pPr>
        <w:spacing w:after="80"/>
        <w:ind w:left="360"/>
      </w:pPr>
      <w:r>
        <w:rPr>
          <w:rFonts w:ascii="Courier New" w:cs="Courier New" w:eastAsia="Courier New" w:hAnsi="Courier New"/>
          <w:sz w:val="18"/>
          <w:szCs w:val="18"/>
        </w:rPr>
        <w:t xml:space="preserve">RETURN SELECT 1 AS result WHERE @bu IN (</w:t>
      </w:r>
    </w:p>
    <w:p>
      <w:pPr>
        <w:spacing w:after="80"/>
        <w:ind w:left="360"/>
      </w:pPr>
      <w:r>
        <w:rPr>
          <w:rFonts w:ascii="Courier New" w:cs="Courier New" w:eastAsia="Courier New" w:hAnsi="Courier New"/>
          <w:sz w:val="18"/>
          <w:szCs w:val="18"/>
        </w:rPr>
        <w:t xml:space="preserve">  SELECT business_unit FROM security.user_permissions</w:t>
      </w:r>
    </w:p>
    <w:p>
      <w:pPr>
        <w:spacing w:after="80"/>
        <w:ind w:left="360"/>
      </w:pPr>
      <w:r>
        <w:rPr>
          <w:rFonts w:ascii="Courier New" w:cs="Courier New" w:eastAsia="Courier New" w:hAnsi="Courier New"/>
          <w:sz w:val="18"/>
          <w:szCs w:val="18"/>
        </w:rPr>
        <w:t xml:space="preserve">  WHERE user_email = USER_NAME());</w:t>
      </w:r>
    </w:p>
    <w:p>
      <w:pPr>
        <w:spacing w:after="80"/>
        <w:ind w:left="360"/>
      </w:pPr>
      <w:r>
        <w:rPr>
          <w:rFonts w:ascii="Courier New" w:cs="Courier New" w:eastAsia="Courier New" w:hAnsi="Courier New"/>
          <w:sz w:val="18"/>
          <w:szCs w:val="18"/>
        </w:rPr>
        <w:t xml:space="preserve"/>
      </w:r>
    </w:p>
    <w:p>
      <w:pPr>
        <w:spacing w:after="80"/>
        <w:ind w:left="360"/>
      </w:pPr>
      <w:r>
        <w:rPr>
          <w:rFonts w:ascii="Courier New" w:cs="Courier New" w:eastAsia="Courier New" w:hAnsi="Courier New"/>
          <w:sz w:val="18"/>
          <w:szCs w:val="18"/>
        </w:rPr>
        <w:t xml:space="preserve">CREATE SECURITY POLICY security.rls_policy</w:t>
      </w:r>
    </w:p>
    <w:p>
      <w:pPr>
        <w:spacing w:after="80"/>
        <w:ind w:left="360"/>
      </w:pPr>
      <w:r>
        <w:rPr>
          <w:rFonts w:ascii="Courier New" w:cs="Courier New" w:eastAsia="Courier New" w:hAnsi="Courier New"/>
          <w:sz w:val="18"/>
          <w:szCs w:val="18"/>
        </w:rPr>
        <w:t xml:space="preserve">ADD FILTER PREDICATE security.rls_by_business_unit(business_unit)</w:t>
      </w:r>
    </w:p>
    <w:p>
      <w:pPr>
        <w:spacing w:after="80"/>
        <w:ind w:left="360"/>
      </w:pPr>
      <w:r>
        <w:rPr>
          <w:rFonts w:ascii="Courier New" w:cs="Courier New" w:eastAsia="Courier New" w:hAnsi="Courier New"/>
          <w:sz w:val="18"/>
          <w:szCs w:val="18"/>
        </w:rPr>
        <w:t xml:space="preserve">ON gold.account_summary WITH (STATE = ON);</w:t>
      </w:r>
    </w:p>
    <w:p>
      <w:pPr>
        <w:spacing w:after="120"/>
      </w:pPr>
      <w:r>
        <w:rPr>
          <w:rFonts w:ascii="Arial" w:cs="Arial" w:eastAsia="Arial" w:hAnsi="Arial"/>
          <w:sz w:val="22"/>
          <w:szCs w:val="22"/>
        </w:rPr>
        <w:t xml:space="preserve"/>
      </w:r>
    </w:p>
    <w:p>
      <w:pPr>
        <w:spacing w:after="120"/>
      </w:pPr>
      <w:r>
        <w:rPr>
          <w:rFonts w:ascii="Arial" w:cs="Arial" w:eastAsia="Arial" w:hAnsi="Arial"/>
          <w:b/>
          <w:bCs/>
          <w:sz w:val="22"/>
          <w:szCs w:val="22"/>
        </w:rPr>
        <w:t xml:space="preserve">Column-Level Security:</w:t>
      </w:r>
    </w:p>
    <w:p>
      <w:pPr>
        <w:spacing w:after="80"/>
        <w:ind w:left="360"/>
      </w:pPr>
      <w:r>
        <w:rPr>
          <w:rFonts w:ascii="Courier New" w:cs="Courier New" w:eastAsia="Courier New" w:hAnsi="Courier New"/>
          <w:sz w:val="18"/>
          <w:szCs w:val="18"/>
        </w:rPr>
        <w:t xml:space="preserve">DENY SELECT ON gold.customer_360(sin_number) TO [sg-data-analysts];</w:t>
      </w:r>
    </w:p>
    <w:p>
      <w:pPr>
        <w:spacing w:after="80"/>
        <w:ind w:left="360"/>
      </w:pPr>
      <w:r>
        <w:rPr>
          <w:rFonts w:ascii="Courier New" w:cs="Courier New" w:eastAsia="Courier New" w:hAnsi="Courier New"/>
          <w:sz w:val="18"/>
          <w:szCs w:val="18"/>
        </w:rPr>
        <w:t xml:space="preserve">GRANT SELECT ON gold.customer_360(sin_number) TO [sg-pii-authorized];</w:t>
      </w:r>
    </w:p>
    <w:p>
      <w:pPr>
        <w:pStyle w:val="Heading2"/>
        <w:spacing w:before="280" w:after="160"/>
      </w:pPr>
      <w:r>
        <w:rPr>
          <w:rFonts w:ascii="Arial" w:cs="Arial" w:eastAsia="Arial" w:hAnsi="Arial"/>
          <w:b/>
          <w:bCs/>
          <w:color w:val="1F4E79"/>
          <w:sz w:val="26"/>
          <w:szCs w:val="26"/>
        </w:rPr>
        <w:t xml:space="preserve">4.4 Fabric SQL Dynamic Data Masking (DDM)</w:t>
      </w:r>
    </w:p>
    <w:p>
      <w:pPr>
        <w:spacing w:after="120"/>
      </w:pPr>
      <w:r>
        <w:rPr>
          <w:rFonts w:ascii="Arial" w:cs="Arial" w:eastAsia="Arial" w:hAnsi="Arial"/>
          <w:sz w:val="22"/>
          <w:szCs w:val="22"/>
        </w:rPr>
        <w:t xml:space="preserve">Fabric Warehouse and SQL Analytics Endpoints support SQL Dynamic Data Masking. Mask types include default (first/last letter), email (domain only), random (numeric range), and custom string patterns.</w:t>
      </w:r>
    </w:p>
    <w:p>
      <w:pPr>
        <w:spacing w:after="120"/>
      </w:pPr>
      <w:r>
        <w:rPr>
          <w:rFonts w:ascii="Arial" w:cs="Arial" w:eastAsia="Arial" w:hAnsi="Arial"/>
          <w:b/>
          <w:bCs/>
          <w:sz w:val="22"/>
          <w:szCs w:val="22"/>
        </w:rPr>
        <w:t xml:space="preserve">Example DDM configuration:</w:t>
      </w:r>
    </w:p>
    <w:p>
      <w:pPr>
        <w:spacing w:after="80"/>
        <w:ind w:left="360"/>
      </w:pPr>
      <w:r>
        <w:rPr>
          <w:rFonts w:ascii="Courier New" w:cs="Courier New" w:eastAsia="Courier New" w:hAnsi="Courier New"/>
          <w:sz w:val="18"/>
          <w:szCs w:val="18"/>
        </w:rPr>
        <w:t xml:space="preserve">ALTER TABLE gold.customer_360</w:t>
      </w:r>
    </w:p>
    <w:p>
      <w:pPr>
        <w:spacing w:after="80"/>
        <w:ind w:left="360"/>
      </w:pPr>
      <w:r>
        <w:rPr>
          <w:rFonts w:ascii="Courier New" w:cs="Courier New" w:eastAsia="Courier New" w:hAnsi="Courier New"/>
          <w:sz w:val="18"/>
          <w:szCs w:val="18"/>
        </w:rPr>
        <w:t xml:space="preserve">ALTER COLUMN phone_number ADD MASKED WITH (FUNCTION = 'default()');</w:t>
      </w:r>
    </w:p>
    <w:p>
      <w:pPr>
        <w:spacing w:after="80"/>
        <w:ind w:left="360"/>
      </w:pPr>
      <w:r>
        <w:rPr>
          <w:rFonts w:ascii="Courier New" w:cs="Courier New" w:eastAsia="Courier New" w:hAnsi="Courier New"/>
          <w:sz w:val="18"/>
          <w:szCs w:val="18"/>
        </w:rPr>
        <w:t xml:space="preserve">ALTER COLUMN email ADD MASKED WITH (FUNCTION = 'email()');</w:t>
      </w:r>
    </w:p>
    <w:p>
      <w:pPr>
        <w:spacing w:after="80"/>
        <w:ind w:left="360"/>
      </w:pPr>
      <w:r>
        <w:rPr>
          <w:rFonts w:ascii="Courier New" w:cs="Courier New" w:eastAsia="Courier New" w:hAnsi="Courier New"/>
          <w:sz w:val="18"/>
          <w:szCs w:val="18"/>
        </w:rPr>
        <w:t xml:space="preserve">ALTER COLUMN sin_number ADD MASKED WITH (</w:t>
      </w:r>
    </w:p>
    <w:p>
      <w:pPr>
        <w:spacing w:after="80"/>
        <w:ind w:left="360"/>
      </w:pPr>
      <w:r>
        <w:rPr>
          <w:rFonts w:ascii="Courier New" w:cs="Courier New" w:eastAsia="Courier New" w:hAnsi="Courier New"/>
          <w:sz w:val="18"/>
          <w:szCs w:val="18"/>
        </w:rPr>
        <w:t xml:space="preserve">  FUNCTION = 'partial(0, "XXX-XXX-", 3)');</w:t>
      </w:r>
    </w:p>
    <w:p>
      <w:pPr>
        <w:pStyle w:val="Heading2"/>
        <w:spacing w:before="280" w:after="160"/>
      </w:pPr>
      <w:r>
        <w:rPr>
          <w:rFonts w:ascii="Arial" w:cs="Arial" w:eastAsia="Arial" w:hAnsi="Arial"/>
          <w:b/>
          <w:bCs/>
          <w:color w:val="1F4E79"/>
          <w:sz w:val="26"/>
          <w:szCs w:val="26"/>
        </w:rPr>
        <w:t xml:space="preserve">4.5 THE CRITICAL GAP: Spark Notebooks Bypass Fabric Security</w:t>
      </w:r>
    </w:p>
    <w:p>
      <w:pPr>
        <w:spacing w:after="120"/>
      </w:pPr>
      <w:r>
        <w:rPr>
          <w:rFonts w:ascii="Arial" w:cs="Arial" w:eastAsia="Arial" w:hAnsi="Arial"/>
          <w:b/>
          <w:bCs/>
          <w:sz w:val="22"/>
          <w:szCs w:val="22"/>
        </w:rPr>
        <w:t xml:space="preserve">Fabric Spark notebooks access Lakehouse tables directly via Apache Spark APIs. These notebooks bypass RLS, column-level permissions, and DDM — users see the complete, unmasked dataset.</w:t>
      </w:r>
    </w:p>
    <w:p>
      <w:pPr>
        <w:spacing w:after="120"/>
      </w:pPr>
      <w:r>
        <w:rPr>
          <w:rFonts w:ascii="Arial" w:cs="Arial" w:eastAsia="Arial" w:hAnsi="Arial"/>
          <w:sz w:val="22"/>
          <w:szCs w:val="22"/>
        </w:rPr>
        <w:t xml:space="preserve">Impact: A data scientist with Member role in a Fabric workspace who opens a Spark notebook can read all rows and columns of any Lakehouse table in that workspace, regardless of RLS rules defined on the SQL Analytics Endpoint or DDM masks configured on the same tables. For Greenfield, this means a notebook user could see NAS/SIN numbers, account details, and financial data that should be masked or filtered.</w:t>
      </w:r>
    </w:p>
    <w:p>
      <w:pPr>
        <w:spacing w:after="120"/>
      </w:pPr>
      <w:r>
        <w:rPr>
          <w:rFonts w:ascii="Arial" w:cs="Arial" w:eastAsia="Arial" w:hAnsi="Arial"/>
          <w:sz w:val="22"/>
          <w:szCs w:val="22"/>
        </w:rPr>
        <w:t xml:space="preserve">This is not a misconfiguration — it is a fundamental architectural limitation of the current Fabric Spark engine (as of early 2026). Microsoft has not yet delivered unified OneLake-level security policies that propagate across all compute engines.</w:t>
      </w:r>
    </w:p>
    <w:p>
      <w:pPr>
        <w:pStyle w:val="Heading2"/>
        <w:spacing w:before="280" w:after="160"/>
      </w:pPr>
      <w:r>
        <w:rPr>
          <w:rFonts w:ascii="Arial" w:cs="Arial" w:eastAsia="Arial" w:hAnsi="Arial"/>
          <w:b/>
          <w:bCs/>
          <w:color w:val="1F4E79"/>
          <w:sz w:val="26"/>
          <w:szCs w:val="26"/>
        </w:rPr>
        <w:t xml:space="preserve">4.5.1 Mitigations for the Spark Security Gap</w:t>
      </w:r>
    </w:p>
    <w:p>
      <w:pPr>
        <w:pStyle w:val="ListParagraph"/>
        <w:numPr>
          <w:ilvl w:val="0"/>
          <w:numId w:val="2"/>
        </w:numPr>
        <w:spacing w:after="80"/>
      </w:pPr>
      <w:r>
        <w:rPr>
          <w:rFonts w:ascii="Arial" w:cs="Arial" w:eastAsia="Arial" w:hAnsi="Arial"/>
          <w:sz w:val="22"/>
          <w:szCs w:val="22"/>
        </w:rPr>
        <w:t xml:space="preserve">Separate Lakehouses: Divide sensitive data into distinct Lakehouses accessible only to authorized Entra groups. Analysts access aggregated or masked views through SQL endpoints; Spark access to sensitive Lakehouses requires explicit approval.</w:t>
      </w:r>
    </w:p>
    <w:p>
      <w:pPr>
        <w:pStyle w:val="ListParagraph"/>
        <w:numPr>
          <w:ilvl w:val="0"/>
          <w:numId w:val="2"/>
        </w:numPr>
        <w:spacing w:after="80"/>
      </w:pPr>
      <w:r>
        <w:rPr>
          <w:rFonts w:ascii="Arial" w:cs="Arial" w:eastAsia="Arial" w:hAnsi="Arial"/>
          <w:sz w:val="22"/>
          <w:szCs w:val="22"/>
        </w:rPr>
        <w:t xml:space="preserve">SQL-Only Access Paths: Route all access to Confidential/Restricted data through SQL Analytics Endpoints where RLS/DDM are enforced. Restrict Spark to Bronze/Silver development workloads on non-sensitive data.</w:t>
      </w:r>
    </w:p>
    <w:p>
      <w:pPr>
        <w:pStyle w:val="ListParagraph"/>
        <w:numPr>
          <w:ilvl w:val="0"/>
          <w:numId w:val="2"/>
        </w:numPr>
        <w:spacing w:after="80"/>
      </w:pPr>
      <w:r>
        <w:rPr>
          <w:rFonts w:ascii="Arial" w:cs="Arial" w:eastAsia="Arial" w:hAnsi="Arial"/>
          <w:sz w:val="22"/>
          <w:szCs w:val="22"/>
        </w:rPr>
        <w:t xml:space="preserve">Notebook Governance: All Spark notebooks in production workspaces require code review approval. Notebooks accessing sensitive data flagged for monthly security audit. Notebook execution logs streamed to Log Analytics.</w:t>
      </w:r>
    </w:p>
    <w:p>
      <w:pPr>
        <w:pStyle w:val="ListParagraph"/>
        <w:numPr>
          <w:ilvl w:val="0"/>
          <w:numId w:val="2"/>
        </w:numPr>
        <w:spacing w:after="80"/>
      </w:pPr>
      <w:r>
        <w:rPr>
          <w:rFonts w:ascii="Arial" w:cs="Arial" w:eastAsia="Arial" w:hAnsi="Arial"/>
          <w:sz w:val="22"/>
          <w:szCs w:val="22"/>
        </w:rPr>
        <w:t xml:space="preserve">Unity Catalog Routing: For datasets classified Confidential or Restricted, route through Databricks SQL Warehouses where Unity Catalog ABAC applies uniformly. See Section 5.</w:t>
      </w:r>
    </w:p>
    <w:p>
      <w:r>
        <w:br w:type="page"/>
      </w:r>
    </w:p>
    <w:p>
      <w:pPr>
        <w:pStyle w:val="Heading1"/>
        <w:spacing w:before="360" w:after="200"/>
      </w:pPr>
      <w:r>
        <w:rPr>
          <w:rFonts w:ascii="Arial" w:cs="Arial" w:eastAsia="Arial" w:hAnsi="Arial"/>
          <w:b/>
          <w:bCs/>
          <w:color w:val="1F4E79"/>
          <w:sz w:val="32"/>
          <w:szCs w:val="32"/>
        </w:rPr>
        <w:t xml:space="preserve">5. Unity Catalog — Retained for Sensitive Datasets</w:t>
      </w:r>
    </w:p>
    <w:p>
      <w:pPr>
        <w:spacing w:after="120"/>
      </w:pPr>
      <w:r>
        <w:rPr>
          <w:rFonts w:ascii="Arial" w:cs="Arial" w:eastAsia="Arial" w:hAnsi="Arial"/>
          <w:sz w:val="22"/>
          <w:szCs w:val="22"/>
        </w:rPr>
        <w:t xml:space="preserve">Datasets classified as Confidential or Restricted cannot be adequately protected by Fabric’s engine-specific security model. These datasets are governed by Databricks Unity Catalog, which provides true Attribute-Based Access Control (ABAC) with row filters and column masks enforced uniformly across all compute engines — SQL Warehouse, Spark cluster, notebook, or JDBC client.</w:t>
      </w:r>
    </w:p>
    <w:p>
      <w:pPr>
        <w:pStyle w:val="Heading2"/>
        <w:spacing w:before="280" w:after="160"/>
      </w:pPr>
      <w:r>
        <w:rPr>
          <w:rFonts w:ascii="Arial" w:cs="Arial" w:eastAsia="Arial" w:hAnsi="Arial"/>
          <w:b/>
          <w:bCs/>
          <w:color w:val="1F4E79"/>
          <w:sz w:val="26"/>
          <w:szCs w:val="26"/>
        </w:rPr>
        <w:t xml:space="preserve">5.1 Datasets Requiring Unity Catalog</w:t>
      </w:r>
    </w:p>
    <w:p>
      <w:pPr>
        <w:pStyle w:val="ListParagraph"/>
        <w:numPr>
          <w:ilvl w:val="0"/>
          <w:numId w:val="2"/>
        </w:numPr>
        <w:spacing w:after="80"/>
      </w:pPr>
      <w:r>
        <w:rPr>
          <w:rFonts w:ascii="Arial" w:cs="Arial" w:eastAsia="Arial" w:hAnsi="Arial"/>
          <w:sz w:val="22"/>
          <w:szCs w:val="22"/>
        </w:rPr>
        <w:t xml:space="preserve">Personal Identifiable Information (PII): Customer SIN/NAS, date of birth, address, financial account numbers.</w:t>
      </w:r>
    </w:p>
    <w:p>
      <w:pPr>
        <w:pStyle w:val="ListParagraph"/>
        <w:numPr>
          <w:ilvl w:val="0"/>
          <w:numId w:val="2"/>
        </w:numPr>
        <w:spacing w:after="80"/>
      </w:pPr>
      <w:r>
        <w:rPr>
          <w:rFonts w:ascii="Arial" w:cs="Arial" w:eastAsia="Arial" w:hAnsi="Arial"/>
          <w:sz w:val="22"/>
          <w:szCs w:val="22"/>
        </w:rPr>
        <w:t xml:space="preserve">Regulatory Data: Law 25 regulated personal information; PIPEDA-protected records; OSFI-regulated financial metrics.</w:t>
      </w:r>
    </w:p>
    <w:p>
      <w:pPr>
        <w:pStyle w:val="ListParagraph"/>
        <w:numPr>
          <w:ilvl w:val="0"/>
          <w:numId w:val="2"/>
        </w:numPr>
        <w:spacing w:after="80"/>
      </w:pPr>
      <w:r>
        <w:rPr>
          <w:rFonts w:ascii="Arial" w:cs="Arial" w:eastAsia="Arial" w:hAnsi="Arial"/>
          <w:sz w:val="22"/>
          <w:szCs w:val="22"/>
        </w:rPr>
        <w:t xml:space="preserve">Competitive Data: Proprietary customer models, pricing algorithms, underwriting rules.</w:t>
      </w:r>
    </w:p>
    <w:p>
      <w:pPr>
        <w:pStyle w:val="ListParagraph"/>
        <w:numPr>
          <w:ilvl w:val="0"/>
          <w:numId w:val="2"/>
        </w:numPr>
        <w:spacing w:after="80"/>
      </w:pPr>
      <w:r>
        <w:rPr>
          <w:rFonts w:ascii="Arial" w:cs="Arial" w:eastAsia="Arial" w:hAnsi="Arial"/>
          <w:sz w:val="22"/>
          <w:szCs w:val="22"/>
        </w:rPr>
        <w:t xml:space="preserve">Restricted Operational Data: Fraud case details, investigation logs, executive compensation records.</w:t>
      </w:r>
    </w:p>
    <w:p>
      <w:pPr>
        <w:pStyle w:val="Heading2"/>
        <w:spacing w:before="280" w:after="160"/>
      </w:pPr>
      <w:r>
        <w:rPr>
          <w:rFonts w:ascii="Arial" w:cs="Arial" w:eastAsia="Arial" w:hAnsi="Arial"/>
          <w:b/>
          <w:bCs/>
          <w:color w:val="1F4E79"/>
          <w:sz w:val="26"/>
          <w:szCs w:val="26"/>
        </w:rPr>
        <w:t xml:space="preserve">5.2 Unity Catalog Row Filters</w:t>
      </w:r>
    </w:p>
    <w:p>
      <w:pPr>
        <w:spacing w:after="120"/>
      </w:pPr>
      <w:r>
        <w:rPr>
          <w:rFonts w:ascii="Arial" w:cs="Arial" w:eastAsia="Arial" w:hAnsi="Arial"/>
          <w:sz w:val="22"/>
          <w:szCs w:val="22"/>
        </w:rPr>
        <w:t xml:space="preserve">Row filters are SQL functions registered in Unity Catalog and attached to tables. They are evaluated automatically at query time, regardless of the consuming compute engine:</w:t>
      </w:r>
    </w:p>
    <w:p>
      <w:pPr>
        <w:spacing w:after="80"/>
        <w:ind w:left="360"/>
      </w:pPr>
      <w:r>
        <w:rPr>
          <w:rFonts w:ascii="Courier New" w:cs="Courier New" w:eastAsia="Courier New" w:hAnsi="Courier New"/>
          <w:sz w:val="18"/>
          <w:szCs w:val="18"/>
        </w:rPr>
        <w:t xml:space="preserve">CREATE FUNCTION cat_customer.security.rls_by_business_unit(bu STRING)</w:t>
      </w:r>
    </w:p>
    <w:p>
      <w:pPr>
        <w:spacing w:after="80"/>
        <w:ind w:left="360"/>
      </w:pPr>
      <w:r>
        <w:rPr>
          <w:rFonts w:ascii="Courier New" w:cs="Courier New" w:eastAsia="Courier New" w:hAnsi="Courier New"/>
          <w:sz w:val="18"/>
          <w:szCs w:val="18"/>
        </w:rPr>
        <w:t xml:space="preserve">  RETURN IF(</w:t>
      </w:r>
    </w:p>
    <w:p>
      <w:pPr>
        <w:spacing w:after="80"/>
        <w:ind w:left="360"/>
      </w:pPr>
      <w:r>
        <w:rPr>
          <w:rFonts w:ascii="Courier New" w:cs="Courier New" w:eastAsia="Courier New" w:hAnsi="Courier New"/>
          <w:sz w:val="18"/>
          <w:szCs w:val="18"/>
        </w:rPr>
        <w:t xml:space="preserve">    IS_ACCOUNT_GROUP_MEMBER('sg-enterprise-view'),</w:t>
      </w:r>
    </w:p>
    <w:p>
      <w:pPr>
        <w:spacing w:after="80"/>
        <w:ind w:left="360"/>
      </w:pPr>
      <w:r>
        <w:rPr>
          <w:rFonts w:ascii="Courier New" w:cs="Courier New" w:eastAsia="Courier New" w:hAnsi="Courier New"/>
          <w:sz w:val="18"/>
          <w:szCs w:val="18"/>
        </w:rPr>
        <w:t xml:space="preserve">    TRUE,</w:t>
      </w:r>
    </w:p>
    <w:p>
      <w:pPr>
        <w:spacing w:after="80"/>
        <w:ind w:left="360"/>
      </w:pPr>
      <w:r>
        <w:rPr>
          <w:rFonts w:ascii="Courier New" w:cs="Courier New" w:eastAsia="Courier New" w:hAnsi="Courier New"/>
          <w:sz w:val="18"/>
          <w:szCs w:val="18"/>
        </w:rPr>
        <w:t xml:space="preserve">    bu = CURRENT_USER_ATTRIBUTE('business_unit')</w:t>
      </w:r>
    </w:p>
    <w:p>
      <w:pPr>
        <w:spacing w:after="80"/>
        <w:ind w:left="360"/>
      </w:pPr>
      <w:r>
        <w:rPr>
          <w:rFonts w:ascii="Courier New" w:cs="Courier New" w:eastAsia="Courier New" w:hAnsi="Courier New"/>
          <w:sz w:val="18"/>
          <w:szCs w:val="18"/>
        </w:rPr>
        <w:t xml:space="preserve">  );</w:t>
      </w:r>
    </w:p>
    <w:p>
      <w:pPr>
        <w:spacing w:after="80"/>
        <w:ind w:left="360"/>
      </w:pPr>
      <w:r>
        <w:rPr>
          <w:rFonts w:ascii="Courier New" w:cs="Courier New" w:eastAsia="Courier New" w:hAnsi="Courier New"/>
          <w:sz w:val="18"/>
          <w:szCs w:val="18"/>
        </w:rPr>
        <w:t xml:space="preserve"/>
      </w:r>
    </w:p>
    <w:p>
      <w:pPr>
        <w:spacing w:after="80"/>
        <w:ind w:left="360"/>
      </w:pPr>
      <w:r>
        <w:rPr>
          <w:rFonts w:ascii="Courier New" w:cs="Courier New" w:eastAsia="Courier New" w:hAnsi="Courier New"/>
          <w:sz w:val="18"/>
          <w:szCs w:val="18"/>
        </w:rPr>
        <w:t xml:space="preserve">ALTER TABLE cat_customer.gold.customer_360</w:t>
      </w:r>
    </w:p>
    <w:p>
      <w:pPr>
        <w:spacing w:after="80"/>
        <w:ind w:left="360"/>
      </w:pPr>
      <w:r>
        <w:rPr>
          <w:rFonts w:ascii="Courier New" w:cs="Courier New" w:eastAsia="Courier New" w:hAnsi="Courier New"/>
          <w:sz w:val="18"/>
          <w:szCs w:val="18"/>
        </w:rPr>
        <w:t xml:space="preserve">  SET ROW FILTER cat_customer.security.rls_by_business_unit</w:t>
      </w:r>
    </w:p>
    <w:p>
      <w:pPr>
        <w:spacing w:after="80"/>
        <w:ind w:left="360"/>
      </w:pPr>
      <w:r>
        <w:rPr>
          <w:rFonts w:ascii="Courier New" w:cs="Courier New" w:eastAsia="Courier New" w:hAnsi="Courier New"/>
          <w:sz w:val="18"/>
          <w:szCs w:val="18"/>
        </w:rPr>
        <w:t xml:space="preserve">  ON (business_unit);</w:t>
      </w:r>
    </w:p>
    <w:p>
      <w:pPr>
        <w:pStyle w:val="Heading2"/>
        <w:spacing w:before="280" w:after="160"/>
      </w:pPr>
      <w:r>
        <w:rPr>
          <w:rFonts w:ascii="Arial" w:cs="Arial" w:eastAsia="Arial" w:hAnsi="Arial"/>
          <w:b/>
          <w:bCs/>
          <w:color w:val="1F4E79"/>
          <w:sz w:val="26"/>
          <w:szCs w:val="26"/>
        </w:rPr>
        <w:t xml:space="preserve">5.3 Unity Catalog Column Masks</w:t>
      </w:r>
    </w:p>
    <w:p>
      <w:pPr>
        <w:spacing w:after="120"/>
      </w:pPr>
      <w:r>
        <w:rPr>
          <w:rFonts w:ascii="Arial" w:cs="Arial" w:eastAsia="Arial" w:hAnsi="Arial"/>
          <w:sz w:val="22"/>
          <w:szCs w:val="22"/>
        </w:rPr>
        <w:t xml:space="preserve">Column masks transform sensitive column values dynamically based on the requesting user’s identity:</w:t>
      </w:r>
    </w:p>
    <w:p>
      <w:pPr>
        <w:spacing w:after="80"/>
        <w:ind w:left="360"/>
      </w:pPr>
      <w:r>
        <w:rPr>
          <w:rFonts w:ascii="Courier New" w:cs="Courier New" w:eastAsia="Courier New" w:hAnsi="Courier New"/>
          <w:sz w:val="18"/>
          <w:szCs w:val="18"/>
        </w:rPr>
        <w:t xml:space="preserve">CREATE FUNCTION cat_customer.security.mask_sin(sin_value STRING)</w:t>
      </w:r>
    </w:p>
    <w:p>
      <w:pPr>
        <w:spacing w:after="80"/>
        <w:ind w:left="360"/>
      </w:pPr>
      <w:r>
        <w:rPr>
          <w:rFonts w:ascii="Courier New" w:cs="Courier New" w:eastAsia="Courier New" w:hAnsi="Courier New"/>
          <w:sz w:val="18"/>
          <w:szCs w:val="18"/>
        </w:rPr>
        <w:t xml:space="preserve">  RETURN CASE</w:t>
      </w:r>
    </w:p>
    <w:p>
      <w:pPr>
        <w:spacing w:after="80"/>
        <w:ind w:left="360"/>
      </w:pPr>
      <w:r>
        <w:rPr>
          <w:rFonts w:ascii="Courier New" w:cs="Courier New" w:eastAsia="Courier New" w:hAnsi="Courier New"/>
          <w:sz w:val="18"/>
          <w:szCs w:val="18"/>
        </w:rPr>
        <w:t xml:space="preserve">    WHEN IS_ACCOUNT_GROUP_MEMBER('sg-pii-authorized')</w:t>
      </w:r>
    </w:p>
    <w:p>
      <w:pPr>
        <w:spacing w:after="80"/>
        <w:ind w:left="360"/>
      </w:pPr>
      <w:r>
        <w:rPr>
          <w:rFonts w:ascii="Courier New" w:cs="Courier New" w:eastAsia="Courier New" w:hAnsi="Courier New"/>
          <w:sz w:val="18"/>
          <w:szCs w:val="18"/>
        </w:rPr>
        <w:t xml:space="preserve">      THEN sin_value</w:t>
      </w:r>
    </w:p>
    <w:p>
      <w:pPr>
        <w:spacing w:after="80"/>
        <w:ind w:left="360"/>
      </w:pPr>
      <w:r>
        <w:rPr>
          <w:rFonts w:ascii="Courier New" w:cs="Courier New" w:eastAsia="Courier New" w:hAnsi="Courier New"/>
          <w:sz w:val="18"/>
          <w:szCs w:val="18"/>
        </w:rPr>
        <w:t xml:space="preserve">    WHEN IS_ACCOUNT_GROUP_MEMBER('sg-pii-partial')</w:t>
      </w:r>
    </w:p>
    <w:p>
      <w:pPr>
        <w:spacing w:after="80"/>
        <w:ind w:left="360"/>
      </w:pPr>
      <w:r>
        <w:rPr>
          <w:rFonts w:ascii="Courier New" w:cs="Courier New" w:eastAsia="Courier New" w:hAnsi="Courier New"/>
          <w:sz w:val="18"/>
          <w:szCs w:val="18"/>
        </w:rPr>
        <w:t xml:space="preserve">      THEN CONCAT('***-***-', RIGHT(sin_value, 3))</w:t>
      </w:r>
    </w:p>
    <w:p>
      <w:pPr>
        <w:spacing w:after="80"/>
        <w:ind w:left="360"/>
      </w:pPr>
      <w:r>
        <w:rPr>
          <w:rFonts w:ascii="Courier New" w:cs="Courier New" w:eastAsia="Courier New" w:hAnsi="Courier New"/>
          <w:sz w:val="18"/>
          <w:szCs w:val="18"/>
        </w:rPr>
        <w:t xml:space="preserve">    ELSE NULL</w:t>
      </w:r>
    </w:p>
    <w:p>
      <w:pPr>
        <w:spacing w:after="80"/>
        <w:ind w:left="360"/>
      </w:pPr>
      <w:r>
        <w:rPr>
          <w:rFonts w:ascii="Courier New" w:cs="Courier New" w:eastAsia="Courier New" w:hAnsi="Courier New"/>
          <w:sz w:val="18"/>
          <w:szCs w:val="18"/>
        </w:rPr>
        <w:t xml:space="preserve">  END;</w:t>
      </w:r>
    </w:p>
    <w:p>
      <w:pPr>
        <w:spacing w:after="80"/>
        <w:ind w:left="360"/>
      </w:pPr>
      <w:r>
        <w:rPr>
          <w:rFonts w:ascii="Courier New" w:cs="Courier New" w:eastAsia="Courier New" w:hAnsi="Courier New"/>
          <w:sz w:val="18"/>
          <w:szCs w:val="18"/>
        </w:rPr>
        <w:t xml:space="preserve"/>
      </w:r>
    </w:p>
    <w:p>
      <w:pPr>
        <w:spacing w:after="80"/>
        <w:ind w:left="360"/>
      </w:pPr>
      <w:r>
        <w:rPr>
          <w:rFonts w:ascii="Courier New" w:cs="Courier New" w:eastAsia="Courier New" w:hAnsi="Courier New"/>
          <w:sz w:val="18"/>
          <w:szCs w:val="18"/>
        </w:rPr>
        <w:t xml:space="preserve">ALTER TABLE cat_customer.gold.customer_360</w:t>
      </w:r>
    </w:p>
    <w:p>
      <w:pPr>
        <w:spacing w:after="80"/>
        <w:ind w:left="360"/>
      </w:pPr>
      <w:r>
        <w:rPr>
          <w:rFonts w:ascii="Courier New" w:cs="Courier New" w:eastAsia="Courier New" w:hAnsi="Courier New"/>
          <w:sz w:val="18"/>
          <w:szCs w:val="18"/>
        </w:rPr>
        <w:t xml:space="preserve">  ALTER COLUMN sin_number</w:t>
      </w:r>
    </w:p>
    <w:p>
      <w:pPr>
        <w:spacing w:after="80"/>
        <w:ind w:left="360"/>
      </w:pPr>
      <w:r>
        <w:rPr>
          <w:rFonts w:ascii="Courier New" w:cs="Courier New" w:eastAsia="Courier New" w:hAnsi="Courier New"/>
          <w:sz w:val="18"/>
          <w:szCs w:val="18"/>
        </w:rPr>
        <w:t xml:space="preserve">  SET MASK cat_customer.security.mask_sin;</w:t>
      </w:r>
    </w:p>
    <w:p>
      <w:pPr>
        <w:pStyle w:val="Heading2"/>
        <w:spacing w:before="280" w:after="160"/>
      </w:pPr>
      <w:r>
        <w:rPr>
          <w:rFonts w:ascii="Arial" w:cs="Arial" w:eastAsia="Arial" w:hAnsi="Arial"/>
          <w:b/>
          <w:bCs/>
          <w:color w:val="1F4E79"/>
          <w:sz w:val="26"/>
          <w:szCs w:val="26"/>
        </w:rPr>
        <w:t xml:space="preserve">5.4 SAS Viya &amp; Fabric Access to Unity Catalog-Protected Data</w:t>
      </w:r>
    </w:p>
    <w:p>
      <w:pPr>
        <w:spacing w:after="120"/>
      </w:pPr>
      <w:r>
        <w:rPr>
          <w:rFonts w:ascii="Arial" w:cs="Arial" w:eastAsia="Arial" w:hAnsi="Arial"/>
          <w:sz w:val="22"/>
          <w:szCs w:val="22"/>
        </w:rPr>
        <w:t xml:space="preserve">SAS Viya and Fabric workloads requiring access to Confidential/Restricted datasets must route through JDBC connections to Databricks SQL Warehouses, where Unity Catalog enforcement applies at query time:</w:t>
      </w:r>
    </w:p>
    <w:p>
      <w:pPr>
        <w:pStyle w:val="ListParagraph"/>
        <w:numPr>
          <w:ilvl w:val="0"/>
          <w:numId w:val="2"/>
        </w:numPr>
        <w:spacing w:after="80"/>
      </w:pPr>
      <w:r>
        <w:rPr>
          <w:rFonts w:ascii="Arial" w:cs="Arial" w:eastAsia="Arial" w:hAnsi="Arial"/>
          <w:sz w:val="22"/>
          <w:szCs w:val="22"/>
        </w:rPr>
        <w:t xml:space="preserve">SAS Compute Server: JDBC LIBNAME to Databricks SQL Warehouses. User identity propagated via JDBC connection; row filters and column masks enforced.</w:t>
      </w:r>
    </w:p>
    <w:p>
      <w:pPr>
        <w:pStyle w:val="ListParagraph"/>
        <w:numPr>
          <w:ilvl w:val="0"/>
          <w:numId w:val="2"/>
        </w:numPr>
        <w:spacing w:after="80"/>
      </w:pPr>
      <w:r>
        <w:rPr>
          <w:rFonts w:ascii="Arial" w:cs="Arial" w:eastAsia="Arial" w:hAnsi="Arial"/>
          <w:sz w:val="22"/>
          <w:szCs w:val="22"/>
        </w:rPr>
        <w:t xml:space="preserve">Fabric SQL endpoints: Linked connection to Databricks SQL Warehouses for Confidential datasets. Power BI DirectQuery to Databricks SQL Warehouses inherits Unity Catalog ABAC.</w:t>
      </w:r>
    </w:p>
    <w:p>
      <w:pPr>
        <w:pStyle w:val="ListParagraph"/>
        <w:numPr>
          <w:ilvl w:val="0"/>
          <w:numId w:val="2"/>
        </w:numPr>
        <w:spacing w:after="80"/>
      </w:pPr>
      <w:r>
        <w:rPr>
          <w:rFonts w:ascii="Arial" w:cs="Arial" w:eastAsia="Arial" w:hAnsi="Arial"/>
          <w:sz w:val="22"/>
          <w:szCs w:val="22"/>
        </w:rPr>
        <w:t xml:space="preserve">Direct OneLake access to Unity Catalog-protected data is explicitly prohibited. These datasets are not published to OneLake Lakehouses.</w:t>
      </w:r>
    </w:p>
    <w:p>
      <w:r>
        <w:br w:type="page"/>
      </w:r>
    </w:p>
    <w:p>
      <w:pPr>
        <w:pStyle w:val="Heading1"/>
        <w:spacing w:before="360" w:after="200"/>
      </w:pPr>
      <w:r>
        <w:rPr>
          <w:rFonts w:ascii="Arial" w:cs="Arial" w:eastAsia="Arial" w:hAnsi="Arial"/>
          <w:b/>
          <w:bCs/>
          <w:color w:val="1F4E79"/>
          <w:sz w:val="32"/>
          <w:szCs w:val="32"/>
        </w:rPr>
        <w:t xml:space="preserve">6. Dual-Enforcement Model &amp; Dataset Classification</w:t>
      </w:r>
    </w:p>
    <w:p>
      <w:pPr>
        <w:spacing w:after="120"/>
      </w:pPr>
      <w:r>
        <w:rPr>
          <w:rFonts w:ascii="Arial" w:cs="Arial" w:eastAsia="Arial" w:hAnsi="Arial"/>
          <w:sz w:val="22"/>
          <w:szCs w:val="22"/>
        </w:rPr>
        <w:t xml:space="preserve">The Fabric-primary architecture operates a dual-enforcement model. The dataset classification matrix determines the security routing: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2200"/>
        <w:gridCol w:w="1800"/>
        <w:gridCol w:w="2360"/>
      </w:tblGrid>
      <w:tr>
        <w:tc>
          <w:tcPr>
            <w:tcW w:type="dxa" w:w="12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Classification</w:t>
            </w:r>
          </w:p>
        </w:tc>
        <w:tc>
          <w:tcPr>
            <w:tcW w:type="dxa" w:w="18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Data Examples</w:t>
            </w:r>
          </w:p>
        </w:tc>
        <w:tc>
          <w:tcPr>
            <w:tcW w:type="dxa" w:w="22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Primary Security</w:t>
            </w:r>
          </w:p>
        </w:tc>
        <w:tc>
          <w:tcPr>
            <w:tcW w:type="dxa" w:w="18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OneLake Controls</w:t>
            </w:r>
          </w:p>
        </w:tc>
        <w:tc>
          <w:tcPr>
            <w:tcW w:type="dxa" w:w="23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Unity Catalog</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Public</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Published market data, aggregate statistics, product brochures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OneLake only</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Workspace role + item permissions</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used</w:t>
            </w:r>
          </w:p>
        </w:tc>
      </w:tr>
      <w:tr>
        <w:tc>
          <w:tcPr>
            <w:tcW w:type="dxa" w:w="1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Internal</w:t>
            </w:r>
          </w:p>
        </w:tc>
        <w:tc>
          <w:tcPr>
            <w:tcW w:type="dxa" w:w="1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Operational metrics, department dashboards, project docs</w:t>
            </w:r>
          </w:p>
        </w:tc>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OneLake only</w:t>
            </w:r>
          </w:p>
        </w:tc>
        <w:tc>
          <w:tcPr>
            <w:tcW w:type="dxa" w:w="1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Workspace role + item permissions + optional RLS</w:t>
            </w:r>
          </w:p>
        </w:tc>
        <w:tc>
          <w:tcPr>
            <w:tcW w:type="dxa" w:w="23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Not used</w:t>
            </w:r>
          </w:p>
        </w:tc>
      </w:tr>
      <w:tr>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Confidential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Customer aggregates, financial models, PII subsets</w:t>
            </w:r>
          </w:p>
        </w:tc>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OneLake primary + UC for sensitive subsets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Workspace role + RLS + DDM on SQL endpoint</w:t>
            </w:r>
          </w:p>
        </w:tc>
        <w:tc>
          <w:tcPr>
            <w:tcW w:type="dxa" w:w="2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Optional: for columns requiring ABAC or Spark access paths</w:t>
            </w:r>
          </w:p>
        </w:tc>
      </w:tr>
      <w:tr>
        <w:tc>
          <w:tcPr>
            <w:tcW w:type="dxa" w:w="1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Restricted</w:t>
            </w:r>
          </w:p>
        </w:tc>
        <w:tc>
          <w:tcPr>
            <w:tcW w:type="dxa" w:w="1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Full PII, fraud case details, regulatory investigations, executive comp</w:t>
            </w:r>
          </w:p>
        </w:tc>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Unity Catalog mandatory</w:t>
            </w:r>
          </w:p>
        </w:tc>
        <w:tc>
          <w:tcPr>
            <w:tcW w:type="dxa" w:w="1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Not used for data access</w:t>
            </w:r>
          </w:p>
        </w:tc>
        <w:tc>
          <w:tcPr>
            <w:tcW w:type="dxa" w:w="23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Mandatory: row filter + column mask enforced uniformly</w:t>
            </w:r>
          </w:p>
        </w:tc>
      </w:tr>
    </w:tbl>
    <w:p>
      <w:pPr>
        <w:pStyle w:val="Heading2"/>
        <w:spacing w:before="280" w:after="160"/>
      </w:pPr>
      <w:r>
        <w:rPr>
          <w:rFonts w:ascii="Arial" w:cs="Arial" w:eastAsia="Arial" w:hAnsi="Arial"/>
          <w:b/>
          <w:bCs/>
          <w:color w:val="1F4E79"/>
          <w:sz w:val="26"/>
          <w:szCs w:val="26"/>
        </w:rPr>
        <w:t xml:space="preserve">6.1 Decision Flow</w:t>
      </w:r>
    </w:p>
    <w:p>
      <w:pPr>
        <w:pStyle w:val="ListParagraph"/>
        <w:numPr>
          <w:ilvl w:val="0"/>
          <w:numId w:val="2"/>
        </w:numPr>
        <w:spacing w:after="80"/>
      </w:pPr>
      <w:r>
        <w:rPr>
          <w:rFonts w:ascii="Arial" w:cs="Arial" w:eastAsia="Arial" w:hAnsi="Arial"/>
          <w:sz w:val="22"/>
          <w:szCs w:val="22"/>
        </w:rPr>
        <w:t xml:space="preserve">Step 1: Classify the dataset using Greenfield’s data classification taxonomy (Purview sensitivity labels).</w:t>
      </w:r>
    </w:p>
    <w:p>
      <w:pPr>
        <w:pStyle w:val="ListParagraph"/>
        <w:numPr>
          <w:ilvl w:val="0"/>
          <w:numId w:val="2"/>
        </w:numPr>
        <w:spacing w:after="80"/>
      </w:pPr>
      <w:r>
        <w:rPr>
          <w:rFonts w:ascii="Arial" w:cs="Arial" w:eastAsia="Arial" w:hAnsi="Arial"/>
          <w:sz w:val="22"/>
          <w:szCs w:val="22"/>
        </w:rPr>
        <w:t xml:space="preserve">Step 2: If Restricted → mandatory Unity Catalog enforcement; data published to Databricks only; no OneLake Lakehouse.</w:t>
      </w:r>
    </w:p>
    <w:p>
      <w:pPr>
        <w:pStyle w:val="ListParagraph"/>
        <w:numPr>
          <w:ilvl w:val="0"/>
          <w:numId w:val="2"/>
        </w:numPr>
        <w:spacing w:after="80"/>
      </w:pPr>
      <w:r>
        <w:rPr>
          <w:rFonts w:ascii="Arial" w:cs="Arial" w:eastAsia="Arial" w:hAnsi="Arial"/>
          <w:sz w:val="22"/>
          <w:szCs w:val="22"/>
        </w:rPr>
        <w:t xml:space="preserve">Step 3: If Confidential → evaluate whether OneLake RLS + DDM on SQL endpoint is sufficient for all consumption patterns. If any consumer requires Spark notebook access to sensitive columns, route to Unity Catalog.</w:t>
      </w:r>
    </w:p>
    <w:p>
      <w:pPr>
        <w:pStyle w:val="ListParagraph"/>
        <w:numPr>
          <w:ilvl w:val="0"/>
          <w:numId w:val="2"/>
        </w:numPr>
        <w:spacing w:after="80"/>
      </w:pPr>
      <w:r>
        <w:rPr>
          <w:rFonts w:ascii="Arial" w:cs="Arial" w:eastAsia="Arial" w:hAnsi="Arial"/>
          <w:sz w:val="22"/>
          <w:szCs w:val="22"/>
        </w:rPr>
        <w:t xml:space="preserve">Step 4: If Internal or Public → OneLake security only; no Databricks governance overhead required.</w:t>
      </w:r>
    </w:p>
    <w:p>
      <w:pPr>
        <w:pStyle w:val="Heading2"/>
        <w:spacing w:before="280" w:after="160"/>
      </w:pPr>
      <w:r>
        <w:rPr>
          <w:rFonts w:ascii="Arial" w:cs="Arial" w:eastAsia="Arial" w:hAnsi="Arial"/>
          <w:b/>
          <w:bCs/>
          <w:color w:val="1F4E79"/>
          <w:sz w:val="26"/>
          <w:szCs w:val="26"/>
        </w:rPr>
        <w:t xml:space="preserve">6.2 Metadata Synchronization: Unity Catalog → Purview</w:t>
      </w:r>
    </w:p>
    <w:p>
      <w:pPr>
        <w:spacing w:after="120"/>
      </w:pPr>
      <w:r>
        <w:rPr>
          <w:rFonts w:ascii="Arial" w:cs="Arial" w:eastAsia="Arial" w:hAnsi="Arial"/>
          <w:sz w:val="22"/>
          <w:szCs w:val="22"/>
        </w:rPr>
        <w:t xml:space="preserve">All datasets governed by Unity Catalog must have their metadata synchronized to Microsoft Purview for enterprise visibility. The Databricks-Purview connector provides automated sync of table names, columns, classifications, RLS rules, column masks, and ownership. Sync latency is near-real-time. Purview sensitivity labels propagate to Unity Catalog tags, creating a closed-loop governance system.</w:t>
      </w:r>
    </w:p>
    <w:p>
      <w:r>
        <w:br w:type="page"/>
      </w:r>
    </w:p>
    <w:p>
      <w:pPr>
        <w:pStyle w:val="Heading1"/>
        <w:spacing w:before="360" w:after="200"/>
      </w:pPr>
      <w:r>
        <w:rPr>
          <w:rFonts w:ascii="Arial" w:cs="Arial" w:eastAsia="Arial" w:hAnsi="Arial"/>
          <w:b/>
          <w:bCs/>
          <w:color w:val="1F4E79"/>
          <w:sz w:val="32"/>
          <w:szCs w:val="32"/>
        </w:rPr>
        <w:t xml:space="preserve">7. Data Loss Prevention &amp; Exfiltration Controls</w:t>
      </w:r>
    </w:p>
    <w:p>
      <w:pPr>
        <w:pStyle w:val="Heading2"/>
        <w:spacing w:before="280" w:after="160"/>
      </w:pPr>
      <w:r>
        <w:rPr>
          <w:rFonts w:ascii="Arial" w:cs="Arial" w:eastAsia="Arial" w:hAnsi="Arial"/>
          <w:b/>
          <w:bCs/>
          <w:color w:val="1F4E79"/>
          <w:sz w:val="26"/>
          <w:szCs w:val="26"/>
        </w:rPr>
        <w:t xml:space="preserve">7.1 Fabric Tenant-Level Export Restrictions</w:t>
      </w:r>
    </w:p>
    <w:p>
      <w:pPr>
        <w:pStyle w:val="ListParagraph"/>
        <w:numPr>
          <w:ilvl w:val="0"/>
          <w:numId w:val="2"/>
        </w:numPr>
        <w:spacing w:after="80"/>
      </w:pPr>
      <w:r>
        <w:rPr>
          <w:rFonts w:ascii="Arial" w:cs="Arial" w:eastAsia="Arial" w:hAnsi="Arial"/>
          <w:sz w:val="22"/>
          <w:szCs w:val="22"/>
        </w:rPr>
        <w:t xml:space="preserve">Disable “Export to PDF/Excel” for Premium workspaces containing Confidential/Restricted reports.</w:t>
      </w:r>
    </w:p>
    <w:p>
      <w:pPr>
        <w:pStyle w:val="ListParagraph"/>
        <w:numPr>
          <w:ilvl w:val="0"/>
          <w:numId w:val="2"/>
        </w:numPr>
        <w:spacing w:after="80"/>
      </w:pPr>
      <w:r>
        <w:rPr>
          <w:rFonts w:ascii="Arial" w:cs="Arial" w:eastAsia="Arial" w:hAnsi="Arial"/>
          <w:sz w:val="22"/>
          <w:szCs w:val="22"/>
        </w:rPr>
        <w:t xml:space="preserve">Disable “Copy to clipboard” for dashboards in regulated workspaces.</w:t>
      </w:r>
    </w:p>
    <w:p>
      <w:pPr>
        <w:pStyle w:val="ListParagraph"/>
        <w:numPr>
          <w:ilvl w:val="0"/>
          <w:numId w:val="2"/>
        </w:numPr>
        <w:spacing w:after="80"/>
      </w:pPr>
      <w:r>
        <w:rPr>
          <w:rFonts w:ascii="Arial" w:cs="Arial" w:eastAsia="Arial" w:hAnsi="Arial"/>
          <w:sz w:val="22"/>
          <w:szCs w:val="22"/>
        </w:rPr>
        <w:t xml:space="preserve">Restrictions enforced at Fabric service level; cannot be bypassed by users with local admin privileges.</w:t>
      </w:r>
    </w:p>
    <w:p>
      <w:pPr>
        <w:pStyle w:val="Heading2"/>
        <w:spacing w:before="280" w:after="160"/>
      </w:pPr>
      <w:r>
        <w:rPr>
          <w:rFonts w:ascii="Arial" w:cs="Arial" w:eastAsia="Arial" w:hAnsi="Arial"/>
          <w:b/>
          <w:bCs/>
          <w:color w:val="1F4E79"/>
          <w:sz w:val="26"/>
          <w:szCs w:val="26"/>
        </w:rPr>
        <w:t xml:space="preserve">7.2 Fabric Managed Virtual Network</w:t>
      </w:r>
    </w:p>
    <w:p>
      <w:pPr>
        <w:spacing w:after="120"/>
      </w:pPr>
      <w:r>
        <w:rPr>
          <w:rFonts w:ascii="Arial" w:cs="Arial" w:eastAsia="Arial" w:hAnsi="Arial"/>
          <w:sz w:val="22"/>
          <w:szCs w:val="22"/>
        </w:rPr>
        <w:t xml:space="preserve">Production Fabric Premium capacities are deployed within Fabric-managed VNets. Outbound traffic restricted to approved Azure destinations. Internet egress blocked by default. Private endpoints for Databricks and SAS ensure traffic does not traverse the public internet.</w:t>
      </w:r>
    </w:p>
    <w:p>
      <w:pPr>
        <w:pStyle w:val="Heading2"/>
        <w:spacing w:before="280" w:after="160"/>
      </w:pPr>
      <w:r>
        <w:rPr>
          <w:rFonts w:ascii="Arial" w:cs="Arial" w:eastAsia="Arial" w:hAnsi="Arial"/>
          <w:b/>
          <w:bCs/>
          <w:color w:val="1F4E79"/>
          <w:sz w:val="26"/>
          <w:szCs w:val="26"/>
        </w:rPr>
        <w:t xml:space="preserve">7.3 Azure Firewall for Databricks Egress</w:t>
      </w:r>
    </w:p>
    <w:p>
      <w:pPr>
        <w:spacing w:after="120"/>
      </w:pPr>
      <w:r>
        <w:rPr>
          <w:rFonts w:ascii="Arial" w:cs="Arial" w:eastAsia="Arial" w:hAnsi="Arial"/>
          <w:sz w:val="22"/>
          <w:szCs w:val="22"/>
        </w:rPr>
        <w:t xml:space="preserve">Databricks compute clusters route outbound traffic through Azure Firewall via UDRs. Only whitelisted FQDNs permitted (Databricks control plane, Azure services, approved package repositories). Default deny rule blocks and logs all unmatched egress.</w:t>
      </w:r>
    </w:p>
    <w:p>
      <w:pPr>
        <w:pStyle w:val="Heading2"/>
        <w:spacing w:before="280" w:after="160"/>
      </w:pPr>
      <w:r>
        <w:rPr>
          <w:rFonts w:ascii="Arial" w:cs="Arial" w:eastAsia="Arial" w:hAnsi="Arial"/>
          <w:b/>
          <w:bCs/>
          <w:color w:val="1F4E79"/>
          <w:sz w:val="26"/>
          <w:szCs w:val="26"/>
        </w:rPr>
        <w:t xml:space="preserve">7.4 Purview DLP Integration with Microsoft 365</w:t>
      </w:r>
    </w:p>
    <w:p>
      <w:pPr>
        <w:spacing w:after="120"/>
      </w:pPr>
      <w:r>
        <w:rPr>
          <w:rFonts w:ascii="Arial" w:cs="Arial" w:eastAsia="Arial" w:hAnsi="Arial"/>
          <w:sz w:val="22"/>
          <w:szCs w:val="22"/>
        </w:rPr>
        <w:t xml:space="preserve">Microsoft Purview DLP policies extend to email, Teams, SharePoint, and OneDrive. Outbound emails containing detected PII are blocked. Messages in external Teams channels containing sensitive patterns are blocked in real-time. Files with Restricted classification cannot be shared externally.</w:t>
      </w:r>
    </w:p>
    <w:p>
      <w:r>
        <w:br w:type="page"/>
      </w:r>
    </w:p>
    <w:p>
      <w:pPr>
        <w:pStyle w:val="Heading1"/>
        <w:spacing w:before="360" w:after="200"/>
      </w:pPr>
      <w:r>
        <w:rPr>
          <w:rFonts w:ascii="Arial" w:cs="Arial" w:eastAsia="Arial" w:hAnsi="Arial"/>
          <w:b/>
          <w:bCs/>
          <w:color w:val="1F4E79"/>
          <w:sz w:val="32"/>
          <w:szCs w:val="32"/>
        </w:rPr>
        <w:t xml:space="preserve">8. Privacy, Consent &amp; Regulatory Compliance</w:t>
      </w:r>
    </w:p>
    <w:p>
      <w:pPr>
        <w:spacing w:after="120"/>
      </w:pPr>
      <w:r>
        <w:rPr>
          <w:rFonts w:ascii="Arial" w:cs="Arial" w:eastAsia="Arial" w:hAnsi="Arial"/>
          <w:sz w:val="22"/>
          <w:szCs w:val="22"/>
        </w:rPr>
        <w:t xml:space="preserve">The platform supports privacy requirements under Law 25 (Quebec), PIPEDA (federal), AMF guidelines, and OSFI expectations.</w:t>
      </w:r>
    </w:p>
    <w:p>
      <w:pPr>
        <w:pStyle w:val="Heading2"/>
        <w:spacing w:before="280" w:after="160"/>
      </w:pPr>
      <w:r>
        <w:rPr>
          <w:rFonts w:ascii="Arial" w:cs="Arial" w:eastAsia="Arial" w:hAnsi="Arial"/>
          <w:b/>
          <w:bCs/>
          <w:color w:val="1F4E79"/>
          <w:sz w:val="26"/>
          <w:szCs w:val="26"/>
        </w:rPr>
        <w:t xml:space="preserve">8.1 Consent Management</w:t>
      </w:r>
    </w:p>
    <w:p>
      <w:pPr>
        <w:spacing w:after="120"/>
      </w:pPr>
      <w:r>
        <w:rPr>
          <w:rFonts w:ascii="Arial" w:cs="Arial" w:eastAsia="Arial" w:hAnsi="Arial"/>
          <w:sz w:val="22"/>
          <w:szCs w:val="22"/>
        </w:rPr>
        <w:t xml:space="preserve">The platform integrates with Greenfield’s enterprise consent management system. Consent metadata (purpose, scope, expiry, withdrawal status) is stored in a dedicated consent store within the Customer 360 data product and referenced by pipelines at runtime. Consent checks run at ingestion (Bronze promotion gate) and at Gold product refresh for purpose-limited datasets.</w:t>
      </w:r>
    </w:p>
    <w:p>
      <w:pPr>
        <w:pStyle w:val="Heading2"/>
        <w:spacing w:before="280" w:after="160"/>
      </w:pPr>
      <w:r>
        <w:rPr>
          <w:rFonts w:ascii="Arial" w:cs="Arial" w:eastAsia="Arial" w:hAnsi="Arial"/>
          <w:b/>
          <w:bCs/>
          <w:color w:val="1F4E79"/>
          <w:sz w:val="26"/>
          <w:szCs w:val="26"/>
        </w:rPr>
        <w:t xml:space="preserve">8.2 Data Subject Access Requests (DSAR)</w:t>
      </w:r>
    </w:p>
    <w:p>
      <w:pPr>
        <w:spacing w:after="120"/>
      </w:pPr>
      <w:r>
        <w:rPr>
          <w:rFonts w:ascii="Arial" w:cs="Arial" w:eastAsia="Arial" w:hAnsi="Arial"/>
          <w:sz w:val="22"/>
          <w:szCs w:val="22"/>
        </w:rPr>
        <w:t xml:space="preserve">Automated DSAR workflow: Purview catalog searched for all datasets containing the individual’s identifiers; Unity Catalog lineage traces derived data; extraction pipeline applies column masks to redact third-party PII; packaged report delivered through secure portal within 30-day SLA.</w:t>
      </w:r>
    </w:p>
    <w:p>
      <w:pPr>
        <w:pStyle w:val="Heading2"/>
        <w:spacing w:before="280" w:after="160"/>
      </w:pPr>
      <w:r>
        <w:rPr>
          <w:rFonts w:ascii="Arial" w:cs="Arial" w:eastAsia="Arial" w:hAnsi="Arial"/>
          <w:b/>
          <w:bCs/>
          <w:color w:val="1F4E79"/>
          <w:sz w:val="26"/>
          <w:szCs w:val="26"/>
        </w:rPr>
        <w:t xml:space="preserve">8.3 Right to Erasure</w:t>
      </w:r>
    </w:p>
    <w:p>
      <w:pPr>
        <w:spacing w:after="120"/>
      </w:pPr>
      <w:r>
        <w:rPr>
          <w:rFonts w:ascii="Arial" w:cs="Arial" w:eastAsia="Arial" w:hAnsi="Arial"/>
          <w:sz w:val="22"/>
          <w:szCs w:val="22"/>
        </w:rPr>
        <w:t xml:space="preserve">Eligibility check against regulatory retention policies (AMF mandates 7-year retention for financial records). Eligible records soft-deleted (logical flag) in Gold layer, then hard-deleted via Delta Lake VACUUM across all Medallion layers after cooling-off period. Post-deletion verification confirms PII removal.</w:t>
      </w:r>
    </w:p>
    <w:p>
      <w:pPr>
        <w:pStyle w:val="Heading2"/>
        <w:spacing w:before="280" w:after="160"/>
      </w:pPr>
      <w:r>
        <w:rPr>
          <w:rFonts w:ascii="Arial" w:cs="Arial" w:eastAsia="Arial" w:hAnsi="Arial"/>
          <w:b/>
          <w:bCs/>
          <w:color w:val="1F4E79"/>
          <w:sz w:val="26"/>
          <w:szCs w:val="26"/>
        </w:rPr>
        <w:t xml:space="preserve">8.4 Pseudonymization &amp; Anonymization</w:t>
      </w:r>
    </w:p>
    <w:p>
      <w:pPr>
        <w:spacing w:after="120"/>
      </w:pPr>
      <w:r>
        <w:rPr>
          <w:rFonts w:ascii="Arial" w:cs="Arial" w:eastAsia="Arial" w:hAnsi="Arial"/>
          <w:sz w:val="22"/>
          <w:szCs w:val="22"/>
        </w:rPr>
        <w:t xml:space="preserve">Reusable functions in the curated layer provide tokenization (reversible, for operational use), k-anonymity generalization (for analytical use), and differential privacy noise injection (for external sharing). These are registered as Unity Catalog functions for Databricks paths and as SQL functions on Fabric SQL endpoints.</w:t>
      </w:r>
    </w:p>
    <w:p>
      <w:r>
        <w:br w:type="page"/>
      </w:r>
    </w:p>
    <w:p>
      <w:pPr>
        <w:pStyle w:val="Heading1"/>
        <w:spacing w:before="360" w:after="200"/>
      </w:pPr>
      <w:r>
        <w:rPr>
          <w:rFonts w:ascii="Arial" w:cs="Arial" w:eastAsia="Arial" w:hAnsi="Arial"/>
          <w:b/>
          <w:bCs/>
          <w:color w:val="1F4E79"/>
          <w:sz w:val="32"/>
          <w:szCs w:val="32"/>
        </w:rPr>
        <w:t xml:space="preserve">9. Security Audit &amp; Monitoring</w:t>
      </w:r>
    </w:p>
    <w:p>
      <w:pPr>
        <w:pStyle w:val="Heading2"/>
        <w:spacing w:before="280" w:after="160"/>
      </w:pPr>
      <w:r>
        <w:rPr>
          <w:rFonts w:ascii="Arial" w:cs="Arial" w:eastAsia="Arial" w:hAnsi="Arial"/>
          <w:b/>
          <w:bCs/>
          <w:color w:val="1F4E79"/>
          <w:sz w:val="26"/>
          <w:szCs w:val="26"/>
        </w:rPr>
        <w:t xml:space="preserve">9.1 Audit Log Sources</w:t>
      </w:r>
    </w:p>
    <w:p>
      <w:pPr>
        <w:pStyle w:val="ListParagraph"/>
        <w:numPr>
          <w:ilvl w:val="0"/>
          <w:numId w:val="2"/>
        </w:numPr>
        <w:spacing w:after="80"/>
      </w:pPr>
      <w:r>
        <w:rPr>
          <w:rFonts w:ascii="Arial" w:cs="Arial" w:eastAsia="Arial" w:hAnsi="Arial"/>
          <w:sz w:val="22"/>
          <w:szCs w:val="22"/>
        </w:rPr>
        <w:t xml:space="preserve">Fabric audit logs: workspace operations, user activities, data refresh, Power BI report views, RLS changes. Streamed to Log Analytics via Fabric admin API.</w:t>
      </w:r>
    </w:p>
    <w:p>
      <w:pPr>
        <w:pStyle w:val="ListParagraph"/>
        <w:numPr>
          <w:ilvl w:val="0"/>
          <w:numId w:val="2"/>
        </w:numPr>
        <w:spacing w:after="80"/>
      </w:pPr>
      <w:r>
        <w:rPr>
          <w:rFonts w:ascii="Arial" w:cs="Arial" w:eastAsia="Arial" w:hAnsi="Arial"/>
          <w:sz w:val="22"/>
          <w:szCs w:val="22"/>
        </w:rPr>
        <w:t xml:space="preserve">Databricks audit logs: user login/logout, cluster operations, notebook execution, SQL queries, Unity Catalog grant changes, Delta table modifications. Streamed to Log Analytics.</w:t>
      </w:r>
    </w:p>
    <w:p>
      <w:pPr>
        <w:pStyle w:val="ListParagraph"/>
        <w:numPr>
          <w:ilvl w:val="0"/>
          <w:numId w:val="2"/>
        </w:numPr>
        <w:spacing w:after="80"/>
      </w:pPr>
      <w:r>
        <w:rPr>
          <w:rFonts w:ascii="Arial" w:cs="Arial" w:eastAsia="Arial" w:hAnsi="Arial"/>
          <w:sz w:val="22"/>
          <w:szCs w:val="22"/>
        </w:rPr>
        <w:t xml:space="preserve">Azure Activity Logs: resource provisioning, Key Vault access, network changes. Centralized in Log Analytics workspace.</w:t>
      </w:r>
    </w:p>
    <w:p>
      <w:pPr>
        <w:pStyle w:val="ListParagraph"/>
        <w:numPr>
          <w:ilvl w:val="0"/>
          <w:numId w:val="2"/>
        </w:numPr>
        <w:spacing w:after="80"/>
      </w:pPr>
      <w:r>
        <w:rPr>
          <w:rFonts w:ascii="Arial" w:cs="Arial" w:eastAsia="Arial" w:hAnsi="Arial"/>
          <w:sz w:val="22"/>
          <w:szCs w:val="22"/>
        </w:rPr>
        <w:t xml:space="preserve">SAS Viya audit logs: user sessions, data access via JDBC, model execution. Forwarded to Log Analytics via syslog integration.</w:t>
      </w:r>
    </w:p>
    <w:p>
      <w:pPr>
        <w:pStyle w:val="Heading2"/>
        <w:spacing w:before="280" w:after="160"/>
      </w:pPr>
      <w:r>
        <w:rPr>
          <w:rFonts w:ascii="Arial" w:cs="Arial" w:eastAsia="Arial" w:hAnsi="Arial"/>
          <w:b/>
          <w:bCs/>
          <w:color w:val="1F4E79"/>
          <w:sz w:val="26"/>
          <w:szCs w:val="26"/>
        </w:rPr>
        <w:t xml:space="preserve">9.2 Security Alerting</w:t>
      </w:r>
    </w:p>
    <w:p>
      <w:pPr>
        <w:pStyle w:val="ListParagraph"/>
        <w:numPr>
          <w:ilvl w:val="0"/>
          <w:numId w:val="2"/>
        </w:numPr>
        <w:spacing w:after="80"/>
      </w:pPr>
      <w:r>
        <w:rPr>
          <w:rFonts w:ascii="Arial" w:cs="Arial" w:eastAsia="Arial" w:hAnsi="Arial"/>
          <w:sz w:val="22"/>
          <w:szCs w:val="22"/>
        </w:rPr>
        <w:t xml:space="preserve">Privilege escalation: alert when user added to elevated security groups (sg-data-platform-admins, sg-fabric-capacity-admin).</w:t>
      </w:r>
    </w:p>
    <w:p>
      <w:pPr>
        <w:pStyle w:val="ListParagraph"/>
        <w:numPr>
          <w:ilvl w:val="0"/>
          <w:numId w:val="2"/>
        </w:numPr>
        <w:spacing w:after="80"/>
      </w:pPr>
      <w:r>
        <w:rPr>
          <w:rFonts w:ascii="Arial" w:cs="Arial" w:eastAsia="Arial" w:hAnsi="Arial"/>
          <w:sz w:val="22"/>
          <w:szCs w:val="22"/>
        </w:rPr>
        <w:t xml:space="preserve">Unusual data volume: alert when a user or SP accesses data significantly above 30-day baseline.</w:t>
      </w:r>
    </w:p>
    <w:p>
      <w:pPr>
        <w:pStyle w:val="ListParagraph"/>
        <w:numPr>
          <w:ilvl w:val="0"/>
          <w:numId w:val="2"/>
        </w:numPr>
        <w:spacing w:after="80"/>
      </w:pPr>
      <w:r>
        <w:rPr>
          <w:rFonts w:ascii="Arial" w:cs="Arial" w:eastAsia="Arial" w:hAnsi="Arial"/>
          <w:sz w:val="22"/>
          <w:szCs w:val="22"/>
        </w:rPr>
        <w:t xml:space="preserve">Key Vault anomaly: alert on access from unknown SPs, bulk secret reads, or key deletion attempts.</w:t>
      </w:r>
    </w:p>
    <w:p>
      <w:pPr>
        <w:pStyle w:val="ListParagraph"/>
        <w:numPr>
          <w:ilvl w:val="0"/>
          <w:numId w:val="2"/>
        </w:numPr>
        <w:spacing w:after="80"/>
      </w:pPr>
      <w:r>
        <w:rPr>
          <w:rFonts w:ascii="Arial" w:cs="Arial" w:eastAsia="Arial" w:hAnsi="Arial"/>
          <w:sz w:val="22"/>
          <w:szCs w:val="22"/>
        </w:rPr>
        <w:t xml:space="preserve">Firewall deny spikes: alert when denied egress from compute subnets exceeds threshold.</w:t>
      </w:r>
    </w:p>
    <w:p>
      <w:pPr>
        <w:pStyle w:val="ListParagraph"/>
        <w:numPr>
          <w:ilvl w:val="0"/>
          <w:numId w:val="2"/>
        </w:numPr>
        <w:spacing w:after="80"/>
      </w:pPr>
      <w:r>
        <w:rPr>
          <w:rFonts w:ascii="Arial" w:cs="Arial" w:eastAsia="Arial" w:hAnsi="Arial"/>
          <w:sz w:val="22"/>
          <w:szCs w:val="22"/>
        </w:rPr>
        <w:t xml:space="preserve">RLS/DDM modification: alert when security policies modified outside change management workflow.</w:t>
      </w:r>
    </w:p>
    <w:p>
      <w:pPr>
        <w:spacing w:after="120"/>
      </w:pPr>
      <w:r>
        <w:rPr>
          <w:rFonts w:ascii="Arial" w:cs="Arial" w:eastAsia="Arial" w:hAnsi="Arial"/>
          <w:sz w:val="22"/>
          <w:szCs w:val="22"/>
        </w:rPr>
        <w:t xml:space="preserve">Alerts routed to Greenfield Security Operations Center (SOC) and CDO office security team via Azure Monitor action groups.</w:t>
      </w:r>
    </w:p>
    <w:p>
      <w:r>
        <w:br w:type="page"/>
      </w:r>
    </w:p>
    <w:p>
      <w:pPr>
        <w:pStyle w:val="Heading1"/>
        <w:spacing w:before="360" w:after="200"/>
      </w:pPr>
      <w:r>
        <w:rPr>
          <w:rFonts w:ascii="Arial" w:cs="Arial" w:eastAsia="Arial" w:hAnsi="Arial"/>
          <w:b/>
          <w:bCs/>
          <w:color w:val="1F4E79"/>
          <w:sz w:val="32"/>
          <w:szCs w:val="32"/>
        </w:rPr>
        <w:t xml:space="preserve">10. End-to-End Security Flow — Worked Examples</w:t>
      </w:r>
    </w:p>
    <w:p>
      <w:pPr>
        <w:pStyle w:val="Heading2"/>
        <w:spacing w:before="280" w:after="160"/>
      </w:pPr>
      <w:r>
        <w:rPr>
          <w:rFonts w:ascii="Arial" w:cs="Arial" w:eastAsia="Arial" w:hAnsi="Arial"/>
          <w:b/>
          <w:bCs/>
          <w:color w:val="1F4E79"/>
          <w:sz w:val="26"/>
          <w:szCs w:val="26"/>
        </w:rPr>
        <w:t xml:space="preserve">10.1 Scenario A: Analyst Queries Customer 360 via Fabric SQL Endpoint</w:t>
      </w:r>
    </w:p>
    <w:p>
      <w:pPr>
        <w:spacing w:after="120"/>
      </w:pPr>
      <w:r>
        <w:rPr>
          <w:rFonts w:ascii="Arial" w:cs="Arial" w:eastAsia="Arial" w:hAnsi="Arial"/>
          <w:sz w:val="22"/>
          <w:szCs w:val="22"/>
        </w:rPr>
        <w:t xml:space="preserve">User: Sarah (sarah.smith@greenfield.ca, sg-sales-fabric-member). Dataset: Customer 360 (Internal classification) in ws-sales-gold Lakehouse, accessed via SQL Analytics Endpoint.</w:t>
      </w:r>
    </w:p>
    <w:p>
      <w:pPr>
        <w:pStyle w:val="ListParagraph"/>
        <w:numPr>
          <w:ilvl w:val="0"/>
          <w:numId w:val="2"/>
        </w:numPr>
        <w:spacing w:after="80"/>
      </w:pPr>
      <w:r>
        <w:rPr>
          <w:rFonts w:ascii="Arial" w:cs="Arial" w:eastAsia="Arial" w:hAnsi="Arial"/>
          <w:sz w:val="22"/>
          <w:szCs w:val="22"/>
        </w:rPr>
        <w:t xml:space="preserve">Step 1 — Authentication: Sarah signs in via Entra ID. Conditional Access verifies device compliance and MFA. OAuth token issued.</w:t>
      </w:r>
    </w:p>
    <w:p>
      <w:pPr>
        <w:pStyle w:val="ListParagraph"/>
        <w:numPr>
          <w:ilvl w:val="0"/>
          <w:numId w:val="2"/>
        </w:numPr>
        <w:spacing w:after="80"/>
      </w:pPr>
      <w:r>
        <w:rPr>
          <w:rFonts w:ascii="Arial" w:cs="Arial" w:eastAsia="Arial" w:hAnsi="Arial"/>
          <w:sz w:val="22"/>
          <w:szCs w:val="22"/>
        </w:rPr>
        <w:t xml:space="preserve">Step 2 — Workspace RBAC: Fabric checks sg-sales-fabric-member membership. Member role on ws-sales-gold granted.</w:t>
      </w:r>
    </w:p>
    <w:p>
      <w:pPr>
        <w:pStyle w:val="ListParagraph"/>
        <w:numPr>
          <w:ilvl w:val="0"/>
          <w:numId w:val="2"/>
        </w:numPr>
        <w:spacing w:after="80"/>
      </w:pPr>
      <w:r>
        <w:rPr>
          <w:rFonts w:ascii="Arial" w:cs="Arial" w:eastAsia="Arial" w:hAnsi="Arial"/>
          <w:sz w:val="22"/>
          <w:szCs w:val="22"/>
        </w:rPr>
        <w:t xml:space="preserve">Step 3 — Item Permissions: Default Member role grants access to the Customer 360 Lakehouse.</w:t>
      </w:r>
    </w:p>
    <w:p>
      <w:pPr>
        <w:pStyle w:val="ListParagraph"/>
        <w:numPr>
          <w:ilvl w:val="0"/>
          <w:numId w:val="2"/>
        </w:numPr>
        <w:spacing w:after="80"/>
      </w:pPr>
      <w:r>
        <w:rPr>
          <w:rFonts w:ascii="Arial" w:cs="Arial" w:eastAsia="Arial" w:hAnsi="Arial"/>
          <w:sz w:val="22"/>
          <w:szCs w:val="22"/>
        </w:rPr>
        <w:t xml:space="preserve">Step 4 — RLS Evaluation: SQL security predicate filters rows where region matches Sarah’s assigned region (East).</w:t>
      </w:r>
    </w:p>
    <w:p>
      <w:pPr>
        <w:pStyle w:val="ListParagraph"/>
        <w:numPr>
          <w:ilvl w:val="0"/>
          <w:numId w:val="2"/>
        </w:numPr>
        <w:spacing w:after="80"/>
      </w:pPr>
      <w:r>
        <w:rPr>
          <w:rFonts w:ascii="Arial" w:cs="Arial" w:eastAsia="Arial" w:hAnsi="Arial"/>
          <w:sz w:val="22"/>
          <w:szCs w:val="22"/>
        </w:rPr>
        <w:t xml:space="preserve">Step 5 — DDM: Phone number and email columns return masked values via DDM rules.</w:t>
      </w:r>
    </w:p>
    <w:p>
      <w:pPr>
        <w:pStyle w:val="ListParagraph"/>
        <w:numPr>
          <w:ilvl w:val="0"/>
          <w:numId w:val="2"/>
        </w:numPr>
        <w:spacing w:after="80"/>
      </w:pPr>
      <w:r>
        <w:rPr>
          <w:rFonts w:ascii="Arial" w:cs="Arial" w:eastAsia="Arial" w:hAnsi="Arial"/>
          <w:sz w:val="22"/>
          <w:szCs w:val="22"/>
        </w:rPr>
        <w:t xml:space="preserve">Step 6 — Query Execution: SQL Analytics Endpoint returns 127 rows (East region only), with masked PII columns.</w:t>
      </w:r>
    </w:p>
    <w:p>
      <w:pPr>
        <w:pStyle w:val="ListParagraph"/>
        <w:numPr>
          <w:ilvl w:val="0"/>
          <w:numId w:val="2"/>
        </w:numPr>
        <w:spacing w:after="80"/>
      </w:pPr>
      <w:r>
        <w:rPr>
          <w:rFonts w:ascii="Arial" w:cs="Arial" w:eastAsia="Arial" w:hAnsi="Arial"/>
          <w:sz w:val="22"/>
          <w:szCs w:val="22"/>
        </w:rPr>
        <w:t xml:space="preserve">Step 7 — Audit: Fabric logs the query (who, what, when, how many rows) to the audit table.</w:t>
      </w:r>
    </w:p>
    <w:p>
      <w:pPr>
        <w:pStyle w:val="Heading2"/>
        <w:spacing w:before="280" w:after="160"/>
      </w:pPr>
      <w:r>
        <w:rPr>
          <w:rFonts w:ascii="Arial" w:cs="Arial" w:eastAsia="Arial" w:hAnsi="Arial"/>
          <w:b/>
          <w:bCs/>
          <w:color w:val="1F4E79"/>
          <w:sz w:val="26"/>
          <w:szCs w:val="26"/>
        </w:rPr>
        <w:t xml:space="preserve">10.2 Scenario B: Data Engineer Queries Restricted PII via Databricks SQL Warehouse</w:t>
      </w:r>
    </w:p>
    <w:p>
      <w:pPr>
        <w:spacing w:after="120"/>
      </w:pPr>
      <w:r>
        <w:rPr>
          <w:rFonts w:ascii="Arial" w:cs="Arial" w:eastAsia="Arial" w:hAnsi="Arial"/>
          <w:sz w:val="22"/>
          <w:szCs w:val="22"/>
        </w:rPr>
        <w:t xml:space="preserve">User: Alex (alex.johnson@greenfield.ca, sg-data-engineers). Dataset: customer_identity (Restricted classification) in Unity Catalog with row filter and column mask.</w:t>
      </w:r>
    </w:p>
    <w:p>
      <w:pPr>
        <w:pStyle w:val="ListParagraph"/>
        <w:numPr>
          <w:ilvl w:val="0"/>
          <w:numId w:val="2"/>
        </w:numPr>
        <w:spacing w:after="80"/>
      </w:pPr>
      <w:r>
        <w:rPr>
          <w:rFonts w:ascii="Arial" w:cs="Arial" w:eastAsia="Arial" w:hAnsi="Arial"/>
          <w:sz w:val="22"/>
          <w:szCs w:val="22"/>
        </w:rPr>
        <w:t xml:space="preserve">Step 1 — Authentication: Alex signs in to Databricks via Entra ID SSO. MFA verified.</w:t>
      </w:r>
    </w:p>
    <w:p>
      <w:pPr>
        <w:pStyle w:val="ListParagraph"/>
        <w:numPr>
          <w:ilvl w:val="0"/>
          <w:numId w:val="2"/>
        </w:numPr>
        <w:spacing w:after="80"/>
      </w:pPr>
      <w:r>
        <w:rPr>
          <w:rFonts w:ascii="Arial" w:cs="Arial" w:eastAsia="Arial" w:hAnsi="Arial"/>
          <w:sz w:val="22"/>
          <w:szCs w:val="22"/>
        </w:rPr>
        <w:t xml:space="preserve">Step 2 — Workspace RBAC: Databricks verifies sg-data-engineers membership. Access to analytics workspace granted.</w:t>
      </w:r>
    </w:p>
    <w:p>
      <w:pPr>
        <w:pStyle w:val="ListParagraph"/>
        <w:numPr>
          <w:ilvl w:val="0"/>
          <w:numId w:val="2"/>
        </w:numPr>
        <w:spacing w:after="80"/>
      </w:pPr>
      <w:r>
        <w:rPr>
          <w:rFonts w:ascii="Arial" w:cs="Arial" w:eastAsia="Arial" w:hAnsi="Arial"/>
          <w:sz w:val="22"/>
          <w:szCs w:val="22"/>
        </w:rPr>
        <w:t xml:space="preserve">Step 3 — Unity Catalog ABAC: SELECT on cat_customer.gold.customer_360 granted via group membership.</w:t>
      </w:r>
    </w:p>
    <w:p>
      <w:pPr>
        <w:pStyle w:val="ListParagraph"/>
        <w:numPr>
          <w:ilvl w:val="0"/>
          <w:numId w:val="2"/>
        </w:numPr>
        <w:spacing w:after="80"/>
      </w:pPr>
      <w:r>
        <w:rPr>
          <w:rFonts w:ascii="Arial" w:cs="Arial" w:eastAsia="Arial" w:hAnsi="Arial"/>
          <w:sz w:val="22"/>
          <w:szCs w:val="22"/>
        </w:rPr>
        <w:t xml:space="preserve">Step 4 — Row Filter: rls_by_business_unit() evaluates Alex’s business_unit attribute. Returns only Data Engineering rows.</w:t>
      </w:r>
    </w:p>
    <w:p>
      <w:pPr>
        <w:pStyle w:val="ListParagraph"/>
        <w:numPr>
          <w:ilvl w:val="0"/>
          <w:numId w:val="2"/>
        </w:numPr>
        <w:spacing w:after="80"/>
      </w:pPr>
      <w:r>
        <w:rPr>
          <w:rFonts w:ascii="Arial" w:cs="Arial" w:eastAsia="Arial" w:hAnsi="Arial"/>
          <w:sz w:val="22"/>
          <w:szCs w:val="22"/>
        </w:rPr>
        <w:t xml:space="preserve">Step 5 — Column Mask: mask_sin() evaluates Alex’s group membership. sg-pii-partial returns last 3 digits only.</w:t>
      </w:r>
    </w:p>
    <w:p>
      <w:pPr>
        <w:pStyle w:val="ListParagraph"/>
        <w:numPr>
          <w:ilvl w:val="0"/>
          <w:numId w:val="2"/>
        </w:numPr>
        <w:spacing w:after="80"/>
      </w:pPr>
      <w:r>
        <w:rPr>
          <w:rFonts w:ascii="Arial" w:cs="Arial" w:eastAsia="Arial" w:hAnsi="Arial"/>
          <w:sz w:val="22"/>
          <w:szCs w:val="22"/>
        </w:rPr>
        <w:t xml:space="preserve">Step 6 — Results: 45 rows returned. SIN column shows “***-***-234” format. Full enforcement regardless of compute engine.</w:t>
      </w:r>
    </w:p>
    <w:p>
      <w:pPr>
        <w:pStyle w:val="ListParagraph"/>
        <w:numPr>
          <w:ilvl w:val="0"/>
          <w:numId w:val="2"/>
        </w:numPr>
        <w:spacing w:after="80"/>
      </w:pPr>
      <w:r>
        <w:rPr>
          <w:rFonts w:ascii="Arial" w:cs="Arial" w:eastAsia="Arial" w:hAnsi="Arial"/>
          <w:sz w:val="22"/>
          <w:szCs w:val="22"/>
        </w:rPr>
        <w:t xml:space="preserve">Step 7 — Audit: Databricks audit log records query, applied filters, applied masks, and result row count.</w:t>
      </w:r>
    </w:p>
    <w:p>
      <w:pPr>
        <w:pStyle w:val="Heading2"/>
        <w:spacing w:before="280" w:after="160"/>
      </w:pPr>
      <w:r>
        <w:rPr>
          <w:rFonts w:ascii="Arial" w:cs="Arial" w:eastAsia="Arial" w:hAnsi="Arial"/>
          <w:b/>
          <w:bCs/>
          <w:color w:val="1F4E79"/>
          <w:sz w:val="26"/>
          <w:szCs w:val="26"/>
        </w:rPr>
        <w:t xml:space="preserve">10.3 Scenario C: Spark Notebook Bypass Attempt (Prevented)</w:t>
      </w:r>
    </w:p>
    <w:p>
      <w:pPr>
        <w:spacing w:after="120"/>
      </w:pPr>
      <w:r>
        <w:rPr>
          <w:rFonts w:ascii="Arial" w:cs="Arial" w:eastAsia="Arial" w:hAnsi="Arial"/>
          <w:sz w:val="22"/>
          <w:szCs w:val="22"/>
        </w:rPr>
        <w:t xml:space="preserve">User: Jordan (jordan.lee@greenfield.ca, sg-risk-fabric-member). Attempts: spark.read.table(“cat_customer.gold.customer_identity”) in a Fabric Spark notebook.</w:t>
      </w:r>
    </w:p>
    <w:p>
      <w:pPr>
        <w:pStyle w:val="ListParagraph"/>
        <w:numPr>
          <w:ilvl w:val="0"/>
          <w:numId w:val="2"/>
        </w:numPr>
        <w:spacing w:after="80"/>
      </w:pPr>
      <w:r>
        <w:rPr>
          <w:rFonts w:ascii="Arial" w:cs="Arial" w:eastAsia="Arial" w:hAnsi="Arial"/>
          <w:sz w:val="22"/>
          <w:szCs w:val="22"/>
        </w:rPr>
        <w:t xml:space="preserve">Step 1 — Workspace RBAC: Jordan has Member role in ws-risk workspace. Notebook access granted.</w:t>
      </w:r>
    </w:p>
    <w:p>
      <w:pPr>
        <w:pStyle w:val="ListParagraph"/>
        <w:numPr>
          <w:ilvl w:val="0"/>
          <w:numId w:val="2"/>
        </w:numPr>
        <w:spacing w:after="80"/>
      </w:pPr>
      <w:r>
        <w:rPr>
          <w:rFonts w:ascii="Arial" w:cs="Arial" w:eastAsia="Arial" w:hAnsi="Arial"/>
          <w:sz w:val="22"/>
          <w:szCs w:val="22"/>
        </w:rPr>
        <w:t xml:space="preserve">Step 2 — Unity Catalog Check: Spark attempts to read cat_customer.gold.customer_identity (Restricted). Unity Catalog verifies Jordan’s permissions.</w:t>
      </w:r>
    </w:p>
    <w:p>
      <w:pPr>
        <w:pStyle w:val="ListParagraph"/>
        <w:numPr>
          <w:ilvl w:val="0"/>
          <w:numId w:val="2"/>
        </w:numPr>
        <w:spacing w:after="80"/>
      </w:pPr>
      <w:r>
        <w:rPr>
          <w:rFonts w:ascii="Arial" w:cs="Arial" w:eastAsia="Arial" w:hAnsi="Arial"/>
          <w:sz w:val="22"/>
          <w:szCs w:val="22"/>
        </w:rPr>
        <w:t xml:space="preserve">Step 3 — Access Denied: Jordan’s sg-risk-fabric-member group does not have SELECT on the Restricted table. PERMISSION_DENIED error returned.</w:t>
      </w:r>
    </w:p>
    <w:p>
      <w:pPr>
        <w:pStyle w:val="ListParagraph"/>
        <w:numPr>
          <w:ilvl w:val="0"/>
          <w:numId w:val="2"/>
        </w:numPr>
        <w:spacing w:after="80"/>
      </w:pPr>
      <w:r>
        <w:rPr>
          <w:rFonts w:ascii="Arial" w:cs="Arial" w:eastAsia="Arial" w:hAnsi="Arial"/>
          <w:sz w:val="22"/>
          <w:szCs w:val="22"/>
        </w:rPr>
        <w:t xml:space="preserve">Step 4 — Audit: Denied access attempt logged to Databricks audit log with full context.</w:t>
      </w:r>
    </w:p>
    <w:p>
      <w:pPr>
        <w:spacing w:after="120"/>
      </w:pPr>
      <w:r>
        <w:rPr>
          <w:rFonts w:ascii="Arial" w:cs="Arial" w:eastAsia="Arial" w:hAnsi="Arial"/>
          <w:sz w:val="22"/>
          <w:szCs w:val="22"/>
        </w:rPr>
        <w:t xml:space="preserve">Security outcome: The combination of Unity Catalog permissions and the architectural decision to not publish Restricted data to OneLake Lakehouses prevents bypass through Spark notebooks.</w:t>
      </w:r>
    </w:p>
    <w:p>
      <w:r>
        <w:br w:type="page"/>
      </w:r>
    </w:p>
    <w:p>
      <w:pPr>
        <w:pStyle w:val="Heading1"/>
        <w:spacing w:before="360" w:after="200"/>
      </w:pPr>
      <w:r>
        <w:rPr>
          <w:rFonts w:ascii="Arial" w:cs="Arial" w:eastAsia="Arial" w:hAnsi="Arial"/>
          <w:b/>
          <w:bCs/>
          <w:color w:val="1F4E79"/>
          <w:sz w:val="32"/>
          <w:szCs w:val="32"/>
        </w:rPr>
        <w:t xml:space="preserve">11. Security Governance &amp; Operating Model</w:t>
      </w:r>
    </w:p>
    <w:p>
      <w:pPr>
        <w:pStyle w:val="Heading2"/>
        <w:spacing w:before="280" w:after="160"/>
      </w:pPr>
      <w:r>
        <w:rPr>
          <w:rFonts w:ascii="Arial" w:cs="Arial" w:eastAsia="Arial" w:hAnsi="Arial"/>
          <w:b/>
          <w:bCs/>
          <w:color w:val="1F4E79"/>
          <w:sz w:val="26"/>
          <w:szCs w:val="26"/>
        </w:rPr>
        <w:t xml:space="preserve">11.1 Roles &amp;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5160"/>
        <w:gridCol w:w="2000"/>
      </w:tblGrid>
      <w:tr>
        <w:tc>
          <w:tcPr>
            <w:tcW w:type="dxa" w:w="22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Role</w:t>
            </w:r>
          </w:p>
        </w:tc>
        <w:tc>
          <w:tcPr>
            <w:tcW w:type="dxa" w:w="51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Responsibility</w:t>
            </w:r>
          </w:p>
        </w:tc>
        <w:tc>
          <w:tcPr>
            <w:tcW w:type="dxa" w:w="20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Frequency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CISO</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Sets security policy and risk tolerance; approves major security decisions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Quarterly reviews</w:t>
            </w:r>
          </w:p>
        </w:tc>
      </w:tr>
      <w:tr>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Data Security Officer</w:t>
            </w:r>
          </w:p>
        </w:tc>
        <w:tc>
          <w:tcPr>
            <w:tcW w:type="dxa" w:w="5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Owns data classification, access reviews, DLP policies, and privacy compliance</w:t>
            </w:r>
          </w:p>
        </w:tc>
        <w:tc>
          <w:tcPr>
            <w:tcW w:type="dxa" w:w="20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Monthly audits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Fabric Workspace Admin</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Manages workspace RBAC, item permissions, audit logging, export restrictions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Ad-hoc (IaC)</w:t>
            </w:r>
          </w:p>
        </w:tc>
      </w:tr>
      <w:tr>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Databricks Admin</w:t>
            </w:r>
          </w:p>
        </w:tc>
        <w:tc>
          <w:tcPr>
            <w:tcW w:type="dxa" w:w="5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Manages clusters, Unity Catalog grants, row filters, column masks for retained workloads</w:t>
            </w:r>
          </w:p>
        </w:tc>
        <w:tc>
          <w:tcPr>
            <w:tcW w:type="dxa" w:w="20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Ad-hoc (IaC)</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Data Steward (per domain)</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Owns domain data assets; approves access requests; responds to DLP alerts</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Weekly</w:t>
            </w:r>
          </w:p>
        </w:tc>
      </w:tr>
      <w:tr>
        <w:tc>
          <w:tcPr>
            <w:tcW w:type="dxa" w:w="22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SOC</w:t>
            </w:r>
          </w:p>
        </w:tc>
        <w:tc>
          <w:tcPr>
            <w:tcW w:type="dxa" w:w="5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Monitors security alerts; investigates suspicious activity; responds to incidents</w:t>
            </w:r>
          </w:p>
        </w:tc>
        <w:tc>
          <w:tcPr>
            <w:tcW w:type="dxa" w:w="20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Continuous</w:t>
            </w:r>
          </w:p>
        </w:tc>
      </w:tr>
    </w:tbl>
    <w:p>
      <w:pPr>
        <w:pStyle w:val="Heading2"/>
        <w:spacing w:before="280" w:after="160"/>
      </w:pPr>
      <w:r>
        <w:rPr>
          <w:rFonts w:ascii="Arial" w:cs="Arial" w:eastAsia="Arial" w:hAnsi="Arial"/>
          <w:b/>
          <w:bCs/>
          <w:color w:val="1F4E79"/>
          <w:sz w:val="26"/>
          <w:szCs w:val="26"/>
        </w:rPr>
        <w:t xml:space="preserve">11.2 Quarterly Access Reviews</w:t>
      </w:r>
    </w:p>
    <w:p>
      <w:pPr>
        <w:spacing w:after="120"/>
      </w:pPr>
      <w:r>
        <w:rPr>
          <w:rFonts w:ascii="Arial" w:cs="Arial" w:eastAsia="Arial" w:hAnsi="Arial"/>
          <w:sz w:val="22"/>
          <w:szCs w:val="22"/>
        </w:rPr>
        <w:t xml:space="preserve">Every quarter, a full review of Entra security group memberships and Fabric/Databricks role assignments is conducted. Stale accounts (no login in 90 days) are flagged for removal. Domain data owners validate Unity Catalog grants monthly. Service principal permissions scanned weekly with automated alerting for scope violations.</w:t>
      </w:r>
    </w:p>
    <w:p>
      <w:pPr>
        <w:pStyle w:val="Heading2"/>
        <w:spacing w:before="280" w:after="160"/>
      </w:pPr>
      <w:r>
        <w:rPr>
          <w:rFonts w:ascii="Arial" w:cs="Arial" w:eastAsia="Arial" w:hAnsi="Arial"/>
          <w:b/>
          <w:bCs/>
          <w:color w:val="1F4E79"/>
          <w:sz w:val="26"/>
          <w:szCs w:val="26"/>
        </w:rPr>
        <w:t xml:space="preserve">11.3 Change Management</w:t>
      </w:r>
    </w:p>
    <w:p>
      <w:pPr>
        <w:spacing w:after="120"/>
      </w:pPr>
      <w:r>
        <w:rPr>
          <w:rFonts w:ascii="Arial" w:cs="Arial" w:eastAsia="Arial" w:hAnsi="Arial"/>
          <w:sz w:val="22"/>
          <w:szCs w:val="22"/>
        </w:rPr>
        <w:t xml:space="preserve">All security configuration changes follow Infrastructure-as-Code workflows. RBAC assignments, RLS rules, column masks, DDM configurations, Key Vault policies, and firewall rules are defined in Terraform/YAML, versioned in Git, and deployed through CI/CD pipelines with mandatory code review and approval gates. No security changes are made manually in production.</w:t>
      </w:r>
    </w:p>
    <w:p>
      <w:r>
        <w:br w:type="page"/>
      </w:r>
    </w:p>
    <w:p>
      <w:pPr>
        <w:pStyle w:val="Heading1"/>
        <w:spacing w:before="360" w:after="200"/>
      </w:pPr>
      <w:r>
        <w:rPr>
          <w:rFonts w:ascii="Arial" w:cs="Arial" w:eastAsia="Arial" w:hAnsi="Arial"/>
          <w:b/>
          <w:bCs/>
          <w:color w:val="1F4E79"/>
          <w:sz w:val="32"/>
          <w:szCs w:val="32"/>
        </w:rPr>
        <w:t xml:space="preserve">12. Comparison with Databricks-Primary Security Model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800"/>
        <w:gridCol w:w="2800"/>
        <w:gridCol w:w="2160"/>
      </w:tblGrid>
      <w:tr>
        <w:tc>
          <w:tcPr>
            <w:tcW w:type="dxa" w:w="16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Aspect</w:t>
            </w:r>
          </w:p>
        </w:tc>
        <w:tc>
          <w:tcPr>
            <w:tcW w:type="dxa" w:w="28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Databricks-Primary (v8.0)</w:t>
            </w:r>
          </w:p>
        </w:tc>
        <w:tc>
          <w:tcPr>
            <w:tcW w:type="dxa" w:w="28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Fabric-Primary (v1.0)</w:t>
            </w:r>
          </w:p>
        </w:tc>
        <w:tc>
          <w:tcPr>
            <w:tcW w:type="dxa" w:w="21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rFonts w:ascii="Arial" w:cs="Arial" w:eastAsia="Arial" w:hAnsi="Arial"/>
                <w:b/>
                <w:bCs/>
                <w:sz w:val="20"/>
                <w:szCs w:val="20"/>
              </w:rPr>
              <w:t xml:space="preserve">Implication</w:t>
            </w:r>
          </w:p>
        </w:tc>
      </w:tr>
      <w:tr>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Primary Enforcement</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Unity Catalog: uniform across all engines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OneLake security (majority) + Unity Catalog (sensitive datasets)</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Fabric-primary simpler for non-sensitive data; dual model for sensitive</w:t>
            </w:r>
          </w:p>
        </w:tc>
      </w:tr>
      <w:tr>
        <w:tc>
          <w:tcPr>
            <w:tcW w:type="dxa" w:w="16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RLS Mechanism</w:t>
            </w:r>
          </w:p>
        </w:tc>
        <w:tc>
          <w:tcPr>
            <w:tcW w:type="dxa" w:w="2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UC SQL row filters; uniform enforcement</w:t>
            </w:r>
          </w:p>
        </w:tc>
        <w:tc>
          <w:tcPr>
            <w:tcW w:type="dxa" w:w="2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Power BI RLS (DAX), SQL predicates (T-SQL), Spark: none</w:t>
            </w:r>
          </w:p>
        </w:tc>
        <w:tc>
          <w:tcPr>
            <w:tcW w:type="dxa" w:w="2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Fabric-primary requires routing sensitive data around Spark</w:t>
            </w:r>
          </w:p>
        </w:tc>
      </w:tr>
      <w:tr>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Column Masking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UC column masks; uniform enforcement</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Fabric DDM on SQL endpoint; Spark sees unmasked data</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Same gap: Spark notebooks bypass masking</w:t>
            </w:r>
          </w:p>
        </w:tc>
      </w:tr>
      <w:tr>
        <w:tc>
          <w:tcPr>
            <w:tcW w:type="dxa" w:w="16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Restricted Data Path</w:t>
            </w:r>
          </w:p>
        </w:tc>
        <w:tc>
          <w:tcPr>
            <w:tcW w:type="dxa" w:w="2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Databricks SQL Warehouse + UC</w:t>
            </w:r>
          </w:p>
        </w:tc>
        <w:tc>
          <w:tcPr>
            <w:tcW w:type="dxa" w:w="2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Databricks SQL Warehouse + UC (identical)</w:t>
            </w:r>
          </w:p>
        </w:tc>
        <w:tc>
          <w:tcPr>
            <w:tcW w:type="dxa" w:w="2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No difference for truly sensitive data</w:t>
            </w:r>
          </w:p>
        </w:tc>
      </w:tr>
      <w:tr>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BI Integration</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Power BI via DirectQuery to Databricks + Power BI RLS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Native Power BI + Fabric SQL; RLS built into DAX</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Fabric-primary tighter BI integration</w:t>
            </w:r>
          </w:p>
        </w:tc>
      </w:tr>
      <w:tr>
        <w:tc>
          <w:tcPr>
            <w:tcW w:type="dxa" w:w="16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b/>
                <w:bCs/>
                <w:sz w:val="20"/>
                <w:szCs w:val="20"/>
              </w:rPr>
              <w:t xml:space="preserve">Operational Overhead</w:t>
            </w:r>
          </w:p>
        </w:tc>
        <w:tc>
          <w:tcPr>
            <w:tcW w:type="dxa" w:w="2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Higher: UC governance on all datasets</w:t>
            </w:r>
          </w:p>
        </w:tc>
        <w:tc>
          <w:tcPr>
            <w:tcW w:type="dxa" w:w="280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Lower: OneLake RBAC simpler for ~80% of data</w:t>
            </w:r>
          </w:p>
        </w:tc>
        <w:tc>
          <w:tcPr>
            <w:tcW w:type="dxa" w:w="2160"/>
            <w:tcBorders>
              <w:top w:val="single" w:color="CCCCCC" w:sz="1"/>
              <w:left w:val="single" w:color="CCCCCC" w:sz="1"/>
              <w:bottom w:val="single" w:color="CCCCCC" w:sz="1"/>
              <w:right w:val="single" w:color="CCCCCC" w:sz="1"/>
            </w:tcBorders>
            <w:shd w:fill="F2F7FB" w:val="clear"/>
            <w:tcMar>
              <w:top w:type="dxa" w:w="80"/>
              <w:left w:type="dxa" w:w="120"/>
              <w:bottom w:type="dxa" w:w="80"/>
              <w:right w:type="dxa" w:w="120"/>
            </w:tcMar>
          </w:tcPr>
          <w:p>
            <w:r>
              <w:rPr>
                <w:rFonts w:ascii="Arial" w:cs="Arial" w:eastAsia="Arial" w:hAnsi="Arial"/>
                <w:sz w:val="20"/>
                <w:szCs w:val="20"/>
              </w:rPr>
              <w:t xml:space="preserve">Fabric-primary reduces TCO for low-sensitivity assets</w:t>
            </w:r>
          </w:p>
        </w:tc>
      </w:tr>
      <w:tr>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Audit Trail</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Single: Databricks audit logs</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Dual: Fabric + Databricks audit logs</w:t>
            </w:r>
          </w:p>
        </w:tc>
        <w:tc>
          <w:tcPr>
            <w:tcW w:type="dxa" w:w="2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Fabric-primary requires monitoring two audit systems</w:t>
            </w:r>
          </w:p>
        </w:tc>
      </w:tr>
    </w:tbl>
    <w:p>
      <w:pPr>
        <w:spacing w:before="600"/>
      </w:pPr>
      <w:r>
        <w:rPr>
          <w:rFonts w:ascii="Arial" w:cs="Arial" w:eastAsia="Arial" w:hAnsi="Arial"/>
          <w:i/>
          <w:iCs/>
          <w:color w:val="666666"/>
          <w:sz w:val="20"/>
          <w:szCs w:val="20"/>
        </w:rPr>
        <w:t xml:space="preserve">Document prepared by the Office of the Chief Data Officer, Data &amp; AI Solutions, Greenfield.</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1"/>
      </w:pBdr>
      <w:jc w:val="center"/>
    </w:pPr>
    <w:r>
      <w:rPr>
        <w:rFonts w:ascii="Arial" w:cs="Arial" w:eastAsia="Arial" w:hAnsi="Arial"/>
        <w:color w:val="999999"/>
        <w:sz w:val="18"/>
        <w:szCs w:val="18"/>
      </w:rPr>
      <w:t xml:space="preserve">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9" w:sz="6" w:space="1"/>
      </w:pBdr>
      <w:tabs>
        <w:tab w:val="right" w:pos="9360"/>
      </w:tabs>
    </w:pPr>
    <w:r>
      <w:rPr>
        <w:rFonts w:ascii="Arial" w:cs="Arial" w:eastAsia="Arial" w:hAnsi="Arial"/>
        <w:color w:val="999999"/>
        <w:sz w:val="18"/>
        <w:szCs w:val="18"/>
      </w:rPr>
      <w:t xml:space="preserve">Greenfield – Appendix A: Security &amp; Privacy (Fabric-Primary)</w:t>
    </w:r>
    <w:r>
      <w:rPr>
        <w:rFonts w:ascii="Arial" w:cs="Arial" w:eastAsia="Arial" w:hAnsi="Arial"/>
        <w:color w:val="999999"/>
        <w:sz w:val="18"/>
        <w:szCs w:val="18"/>
      </w:rPr>
      <w:t xml:space="preserve">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F4E79"/>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1F4E79"/>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2026-03-06T05:25:39.593Z</dcterms:created>
  <dcterms:modified xsi:type="dcterms:W3CDTF">2026-03-06T05:25:39.594Z</dcterms:modified>
</cp:coreProperties>
</file>

<file path=docProps/custom.xml><?xml version="1.0" encoding="utf-8"?>
<Properties xmlns="http://schemas.openxmlformats.org/officeDocument/2006/custom-properties" xmlns:vt="http://schemas.openxmlformats.org/officeDocument/2006/docPropsVTypes"/>
</file>